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社会主义学院</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20</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w:t>
      </w:r>
      <w:r>
        <w:rPr>
          <w:rFonts w:hint="eastAsia" w:ascii="Times New Roman" w:hAnsi="Times New Roman" w:eastAsia="方正仿宋_GBK" w:cs="Times New Roman"/>
          <w:color w:val="auto"/>
          <w:sz w:val="32"/>
          <w:szCs w:val="32"/>
        </w:rPr>
        <w:t>《中华人民共和国预算法》、</w:t>
      </w:r>
      <w:r>
        <w:rPr>
          <w:rFonts w:hint="eastAsia" w:ascii="Times New Roman" w:hAnsi="Times New Roman" w:eastAsia="方正仿宋_GBK" w:cs="Times New Roman"/>
          <w:sz w:val="32"/>
          <w:szCs w:val="32"/>
        </w:rPr>
        <w:t>《地方预决算公开操作规程》和《河北省省级预算公开办法》规定，现将河北省社会主义学院2020年部门预算公开如下：</w:t>
      </w:r>
    </w:p>
    <w:p>
      <w:pPr>
        <w:ind w:firstLine="640"/>
        <w:rPr>
          <w:rFonts w:ascii="黑体" w:hAnsi="黑体" w:eastAsia="黑体" w:cs="黑体"/>
          <w:b/>
          <w:bCs/>
          <w:sz w:val="32"/>
          <w:szCs w:val="32"/>
        </w:rPr>
      </w:pPr>
      <w:r>
        <w:rPr>
          <w:rFonts w:hint="eastAsia" w:ascii="黑体" w:hAnsi="黑体" w:eastAsia="黑体" w:cs="黑体"/>
          <w:b/>
          <w:bCs/>
          <w:sz w:val="32"/>
          <w:szCs w:val="32"/>
        </w:rPr>
        <w:t>一、部门职责及机构设置情况</w:t>
      </w:r>
    </w:p>
    <w:p>
      <w:pPr>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部门职责：</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（一）轮训各民主党派和无党派干部；</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（二）培训中青年民主党派干部和无党派代表人士；</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（三）培训少数民族干部、宗教界代表人士和非公有制经济代表人士；</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（四）培训党的统一战线部门的干部；</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（五）开展统一战线理论研究，宣传党的统战理论、方针和政策。</w:t>
      </w:r>
    </w:p>
    <w:p>
      <w:pPr>
        <w:autoSpaceDE w:val="0"/>
        <w:autoSpaceDN w:val="0"/>
        <w:adjustRightInd w:val="0"/>
        <w:ind w:firstLine="640"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机构设置：</w:t>
      </w:r>
    </w:p>
    <w:p>
      <w:pPr>
        <w:jc w:val="center"/>
        <w:outlineLvl w:val="0"/>
        <w:rPr>
          <w:rFonts w:hint="eastAsia" w:ascii="方正仿宋_GBK" w:hAnsi="方正仿宋_GBK" w:eastAsia="方正仿宋_GBK" w:cs="方正仿宋_GBK"/>
          <w:sz w:val="32"/>
          <w:szCs w:val="32"/>
        </w:rPr>
      </w:pPr>
    </w:p>
    <w:p>
      <w:pPr>
        <w:jc w:val="center"/>
        <w:outlineLvl w:val="0"/>
        <w:rPr>
          <w:rFonts w:ascii="黑体" w:hAnsi="黑体" w:eastAsia="黑体" w:cs="方正仿宋_GBK"/>
          <w:b/>
          <w:sz w:val="32"/>
          <w:szCs w:val="32"/>
        </w:rPr>
      </w:pPr>
      <w:r>
        <w:rPr>
          <w:rFonts w:hint="eastAsia" w:ascii="黑体" w:hAnsi="黑体" w:eastAsia="黑体" w:cs="方正仿宋_GBK"/>
          <w:b/>
          <w:sz w:val="32"/>
          <w:szCs w:val="32"/>
        </w:rPr>
        <w:t>部门机构设置情况</w:t>
      </w:r>
    </w:p>
    <w:tbl>
      <w:tblPr>
        <w:tblStyle w:val="8"/>
        <w:tblW w:w="119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04"/>
        <w:gridCol w:w="1935"/>
        <w:gridCol w:w="1950"/>
        <w:gridCol w:w="38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204" w:type="dxa"/>
            <w:vMerge w:val="restart"/>
            <w:shd w:val="clear" w:color="auto" w:fill="auto"/>
            <w:vAlign w:val="center"/>
          </w:tcPr>
          <w:p>
            <w:pPr>
              <w:spacing w:line="300" w:lineRule="exact"/>
              <w:jc w:val="cente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单位名称</w:t>
            </w:r>
          </w:p>
        </w:tc>
        <w:tc>
          <w:tcPr>
            <w:tcW w:w="1935" w:type="dxa"/>
            <w:vMerge w:val="restart"/>
            <w:shd w:val="clear" w:color="auto" w:fill="auto"/>
            <w:vAlign w:val="center"/>
          </w:tcPr>
          <w:p>
            <w:pPr>
              <w:spacing w:line="300" w:lineRule="exact"/>
              <w:jc w:val="cente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单位性质</w:t>
            </w:r>
          </w:p>
        </w:tc>
        <w:tc>
          <w:tcPr>
            <w:tcW w:w="1950" w:type="dxa"/>
            <w:vMerge w:val="restart"/>
            <w:shd w:val="clear" w:color="auto" w:fill="auto"/>
            <w:vAlign w:val="center"/>
          </w:tcPr>
          <w:p>
            <w:pPr>
              <w:spacing w:line="300" w:lineRule="exact"/>
              <w:jc w:val="cente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单位规格</w:t>
            </w:r>
          </w:p>
        </w:tc>
        <w:tc>
          <w:tcPr>
            <w:tcW w:w="3889" w:type="dxa"/>
            <w:vMerge w:val="restart"/>
            <w:shd w:val="clear" w:color="auto" w:fill="auto"/>
            <w:vAlign w:val="center"/>
          </w:tcPr>
          <w:p>
            <w:pPr>
              <w:spacing w:line="300" w:lineRule="exact"/>
              <w:jc w:val="cente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204" w:type="dxa"/>
            <w:vMerge w:val="continue"/>
            <w:shd w:val="clear" w:color="auto" w:fill="auto"/>
            <w:vAlign w:val="center"/>
          </w:tcPr>
          <w:p>
            <w:pPr>
              <w:spacing w:line="300" w:lineRule="exact"/>
              <w:jc w:val="center"/>
              <w:outlineLvl w:val="0"/>
              <w:rPr>
                <w:rFonts w:ascii="方正仿宋_GBK" w:hAnsi="方正仿宋_GBK" w:eastAsia="方正仿宋_GBK" w:cs="方正仿宋_GBK"/>
                <w:sz w:val="32"/>
                <w:szCs w:val="32"/>
              </w:rPr>
            </w:pPr>
          </w:p>
        </w:tc>
        <w:tc>
          <w:tcPr>
            <w:tcW w:w="1935" w:type="dxa"/>
            <w:vMerge w:val="continue"/>
            <w:shd w:val="clear" w:color="auto" w:fill="auto"/>
            <w:vAlign w:val="center"/>
          </w:tcPr>
          <w:p>
            <w:pPr>
              <w:spacing w:line="300" w:lineRule="exact"/>
              <w:jc w:val="center"/>
              <w:outlineLvl w:val="0"/>
              <w:rPr>
                <w:rFonts w:ascii="方正仿宋_GBK" w:hAnsi="方正仿宋_GBK" w:eastAsia="方正仿宋_GBK" w:cs="方正仿宋_GBK"/>
                <w:sz w:val="32"/>
                <w:szCs w:val="32"/>
              </w:rPr>
            </w:pPr>
          </w:p>
        </w:tc>
        <w:tc>
          <w:tcPr>
            <w:tcW w:w="1950" w:type="dxa"/>
            <w:vMerge w:val="continue"/>
            <w:shd w:val="clear" w:color="auto" w:fill="auto"/>
            <w:vAlign w:val="center"/>
          </w:tcPr>
          <w:p>
            <w:pPr>
              <w:spacing w:line="300" w:lineRule="exact"/>
              <w:jc w:val="center"/>
              <w:outlineLvl w:val="0"/>
              <w:rPr>
                <w:rFonts w:ascii="方正仿宋_GBK" w:hAnsi="方正仿宋_GBK" w:eastAsia="方正仿宋_GBK" w:cs="方正仿宋_GBK"/>
                <w:sz w:val="32"/>
                <w:szCs w:val="32"/>
              </w:rPr>
            </w:pPr>
          </w:p>
        </w:tc>
        <w:tc>
          <w:tcPr>
            <w:tcW w:w="3889" w:type="dxa"/>
            <w:vMerge w:val="continue"/>
            <w:shd w:val="clear" w:color="auto" w:fill="auto"/>
            <w:vAlign w:val="center"/>
          </w:tcPr>
          <w:p>
            <w:pPr>
              <w:spacing w:line="300" w:lineRule="exact"/>
              <w:jc w:val="center"/>
              <w:outlineLvl w:val="0"/>
              <w:rPr>
                <w:rFonts w:ascii="方正仿宋_GBK" w:hAnsi="方正仿宋_GBK" w:eastAsia="方正仿宋_GBK" w:cs="方正仿宋_GBK"/>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jc w:val="center"/>
        </w:trPr>
        <w:tc>
          <w:tcPr>
            <w:tcW w:w="4204" w:type="dxa"/>
            <w:shd w:val="clear" w:color="auto" w:fill="auto"/>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河北省社会主义学院（行政）</w:t>
            </w:r>
          </w:p>
        </w:tc>
        <w:tc>
          <w:tcPr>
            <w:tcW w:w="1935" w:type="dxa"/>
            <w:shd w:val="clear" w:color="auto" w:fill="auto"/>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事业</w:t>
            </w:r>
          </w:p>
        </w:tc>
        <w:tc>
          <w:tcPr>
            <w:tcW w:w="1950" w:type="dxa"/>
            <w:shd w:val="clear" w:color="auto" w:fill="auto"/>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正厅局级</w:t>
            </w:r>
          </w:p>
        </w:tc>
        <w:tc>
          <w:tcPr>
            <w:tcW w:w="3889" w:type="dxa"/>
            <w:shd w:val="clear" w:color="auto" w:fill="auto"/>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4204" w:type="dxa"/>
            <w:shd w:val="clear" w:color="auto" w:fill="auto"/>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河北省社会主义学院（事业）</w:t>
            </w:r>
          </w:p>
        </w:tc>
        <w:tc>
          <w:tcPr>
            <w:tcW w:w="1935" w:type="dxa"/>
            <w:shd w:val="clear" w:color="auto" w:fill="auto"/>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事业</w:t>
            </w:r>
          </w:p>
        </w:tc>
        <w:tc>
          <w:tcPr>
            <w:tcW w:w="1950" w:type="dxa"/>
            <w:shd w:val="clear" w:color="auto" w:fill="auto"/>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正厅局级</w:t>
            </w:r>
          </w:p>
        </w:tc>
        <w:tc>
          <w:tcPr>
            <w:tcW w:w="3889" w:type="dxa"/>
            <w:shd w:val="clear" w:color="auto" w:fill="auto"/>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财政性资金基本保证</w:t>
            </w:r>
          </w:p>
        </w:tc>
      </w:tr>
    </w:tbl>
    <w:p>
      <w:pPr>
        <w:ind w:firstLine="640"/>
        <w:rPr>
          <w:rFonts w:ascii="黑体" w:hAnsi="黑体" w:eastAsia="黑体" w:cs="黑体"/>
          <w:b/>
          <w:bCs/>
          <w:sz w:val="32"/>
          <w:szCs w:val="32"/>
        </w:rPr>
      </w:pPr>
      <w:r>
        <w:rPr>
          <w:rFonts w:hint="eastAsia" w:ascii="黑体" w:hAnsi="黑体" w:eastAsia="黑体" w:cs="黑体"/>
          <w:b/>
          <w:bCs/>
          <w:sz w:val="32"/>
          <w:szCs w:val="32"/>
        </w:rPr>
        <w:t>二、部门预算安排的总体情况</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按照预算管理有关规定，目前我省部门预算的编制实行综合预算管理，即全部收入和支出都反映在预算中。河北省社会主义学院的收支包含在部门预算中。</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1、收入说明</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反映本部门当年全部收入。2020年预算收入2295.17万元，其中：一般公共预算收入2195.17万元，基金预算收入0万元，财政专户核拨收入0万元，其他来源收入100万元。</w:t>
      </w:r>
    </w:p>
    <w:p>
      <w:pPr>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2、支出说明</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收支预算总表支出栏、基本支出表、项目支出表按经济分类和支出功能分类科目编制，反映河北省社会主义学院年度部门预算中支出预算的总体情况。2020年支出预算2295.17万元，其中基本支出1053.82万元，包括人员经费800.72万元和日常公用经费253.10万元；项目支出1141.35万元，主要为教育及科研活动经费项目、主体班培训费项目及省社会主义学院危房维修改造项目；其他支出100万元，主要是我院承接的委托培训班培训费用支出。</w:t>
      </w:r>
    </w:p>
    <w:p>
      <w:pPr>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3、比上年增减情况</w:t>
      </w:r>
    </w:p>
    <w:p>
      <w:pPr>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预算收支安排2295.17万元，较2019年预算增加962.53万元，其中：基本支出减少67.82万元，主要为减少日常公用经费支出；项目支出增加930.35万元，主要为基本建设项目支出增加；其他支出无增减变化，与上年持平。</w:t>
      </w:r>
    </w:p>
    <w:p>
      <w:pPr>
        <w:ind w:firstLine="640"/>
        <w:rPr>
          <w:rFonts w:ascii="黑体" w:hAnsi="黑体" w:eastAsia="黑体" w:cs="黑体"/>
          <w:b/>
          <w:bCs/>
          <w:sz w:val="32"/>
          <w:szCs w:val="32"/>
        </w:rPr>
      </w:pPr>
      <w:r>
        <w:rPr>
          <w:rFonts w:hint="eastAsia" w:ascii="黑体" w:hAnsi="黑体" w:eastAsia="黑体" w:cs="黑体"/>
          <w:b/>
          <w:bCs/>
          <w:sz w:val="32"/>
          <w:szCs w:val="32"/>
        </w:rPr>
        <w:t>三、机关运行经费安排情况</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2020年，我院机关运行经费共计安排253.10万元，主要用于日常维修、办公用房水电费、办公用房取暖费、办公用房物业管理费等日常运行支出。</w:t>
      </w:r>
    </w:p>
    <w:p>
      <w:pPr>
        <w:ind w:firstLine="640"/>
        <w:rPr>
          <w:rFonts w:ascii="黑体" w:hAnsi="黑体" w:eastAsia="黑体" w:cs="黑体"/>
          <w:b/>
          <w:bCs/>
          <w:sz w:val="32"/>
          <w:szCs w:val="32"/>
        </w:rPr>
      </w:pPr>
      <w:r>
        <w:rPr>
          <w:rFonts w:hint="eastAsia" w:ascii="黑体" w:hAnsi="黑体" w:eastAsia="黑体" w:cs="黑体"/>
          <w:b/>
          <w:bCs/>
          <w:sz w:val="32"/>
          <w:szCs w:val="32"/>
        </w:rPr>
        <w:t>四、财政拨款“三公”经费预算情况及增减变化原因</w:t>
      </w:r>
    </w:p>
    <w:p>
      <w:pPr>
        <w:autoSpaceDE w:val="0"/>
        <w:autoSpaceDN w:val="0"/>
        <w:adjustRightInd w:val="0"/>
        <w:ind w:left="198"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我院财政拨款“三公”经费预算安排23.24万元，其中因公出国（境）费7万元；公务用车购置及运维费12.24万元（其中：公务用车购置费为0万元，公务用车运维费12.24万元)；公务接待费4万元。与2019年相比持平，无增减变化。</w:t>
      </w:r>
    </w:p>
    <w:p>
      <w:pPr>
        <w:ind w:firstLine="640"/>
        <w:rPr>
          <w:rFonts w:ascii="黑体" w:hAnsi="黑体" w:eastAsia="黑体" w:cs="黑体"/>
          <w:b/>
          <w:bCs/>
          <w:sz w:val="32"/>
          <w:szCs w:val="32"/>
        </w:rPr>
      </w:pPr>
      <w:r>
        <w:rPr>
          <w:rFonts w:hint="eastAsia" w:ascii="黑体" w:hAnsi="黑体" w:eastAsia="黑体" w:cs="黑体"/>
          <w:b/>
          <w:bCs/>
          <w:sz w:val="32"/>
          <w:szCs w:val="32"/>
        </w:rPr>
        <w:t>五、预算绩效信息</w:t>
      </w:r>
    </w:p>
    <w:p>
      <w:pPr>
        <w:ind w:firstLine="640" w:firstLineChars="200"/>
        <w:jc w:val="left"/>
        <w:rPr>
          <w:rFonts w:ascii="Times New Roman" w:hAnsi="Times New Roman" w:eastAsia="方正仿宋_GBK" w:cs="Times New Roman"/>
          <w:b/>
          <w:sz w:val="32"/>
          <w:szCs w:val="32"/>
        </w:rPr>
      </w:pPr>
      <w:bookmarkStart w:id="0" w:name="_Toc471398463"/>
      <w:r>
        <w:rPr>
          <w:rFonts w:ascii="Times New Roman" w:hAnsi="Times New Roman" w:eastAsia="方正仿宋_GBK" w:cs="Times New Roman"/>
          <w:b/>
          <w:sz w:val="32"/>
          <w:szCs w:val="32"/>
        </w:rPr>
        <w:t>第一部分 部门整体绩效目标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（一）总体绩效目标</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以习近平新时代中国特色社会主义思想为指导，深入贯彻党的十九大和十九届二中、三中、四中全会精神和党中央决策部署以及省委九届九次全会精神，坚持“五位一体”总体布局和“四个全面”战略布局，</w:t>
      </w:r>
      <w:r>
        <w:rPr>
          <w:rFonts w:ascii="Times New Roman" w:hAnsi="Times New Roman" w:eastAsia="方正仿宋_GBK" w:cs="Times New Roman"/>
          <w:color w:val="auto"/>
          <w:sz w:val="32"/>
          <w:szCs w:val="32"/>
        </w:rPr>
        <w:t>增强“四个意识”</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坚定“四个自信”</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坚决做到“两个维护”,围</w:t>
      </w:r>
      <w:r>
        <w:rPr>
          <w:rFonts w:ascii="Times New Roman" w:hAnsi="Times New Roman" w:eastAsia="方正仿宋_GBK" w:cs="Times New Roman"/>
          <w:sz w:val="32"/>
          <w:szCs w:val="32"/>
        </w:rPr>
        <w:t>绕省委九届九次全会提出的部署要求，做好社会主义学院各项工作。通过完善基础设施建设、强化学科建设和职工队伍建设，使我院在教学科研、综合管理、办学条件等方面有明显提高，进一步提高办学的科学化、规范化水平，努力实现各项评估指标跨入全国省级社会主义学院先进行列。充分发挥社会主义学院职能作用，使我院真正成为统一战线人才教育培训的主阵地，为建设经济强省、美丽河北，谱写中华民族伟大复兴中国梦的河北篇章，</w:t>
      </w:r>
      <w:r>
        <w:rPr>
          <w:rFonts w:hint="eastAsia" w:ascii="Times New Roman" w:hAnsi="Times New Roman" w:eastAsia="方正仿宋_GBK" w:cs="Times New Roman"/>
          <w:color w:val="auto"/>
          <w:sz w:val="32"/>
          <w:szCs w:val="32"/>
          <w:lang w:eastAsia="zh-CN"/>
        </w:rPr>
        <w:t>作出</w:t>
      </w:r>
      <w:r>
        <w:rPr>
          <w:rFonts w:ascii="Times New Roman" w:hAnsi="Times New Roman" w:eastAsia="方正仿宋_GBK" w:cs="Times New Roman"/>
          <w:color w:val="auto"/>
          <w:sz w:val="32"/>
          <w:szCs w:val="32"/>
        </w:rPr>
        <w:t>积极贡献。</w:t>
      </w:r>
      <w:r>
        <w:rPr>
          <w:rFonts w:ascii="Times New Roman" w:hAnsi="Times New Roman" w:eastAsia="方正仿宋_GBK" w:cs="Times New Roman"/>
          <w:sz w:val="32"/>
          <w:szCs w:val="32"/>
        </w:rPr>
        <w:t xml:space="preserve">     </w:t>
      </w:r>
    </w:p>
    <w:p>
      <w:pPr>
        <w:numPr>
          <w:ilvl w:val="0"/>
          <w:numId w:val="1"/>
        </w:num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分项绩效目标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进一步加强培训工作</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绩效目标：按照突出政治培训、强化共识教育的</w:t>
      </w:r>
      <w:bookmarkStart w:id="2" w:name="_GoBack"/>
      <w:bookmarkEnd w:id="2"/>
      <w:r>
        <w:rPr>
          <w:rFonts w:ascii="Times New Roman" w:hAnsi="Times New Roman" w:eastAsia="方正仿宋_GBK" w:cs="Times New Roman"/>
          <w:sz w:val="32"/>
          <w:szCs w:val="32"/>
        </w:rPr>
        <w:t>要求，完善以习近平新时代中国特色社会主义思想为重点、以统一战线理论政策为特色的课程体系；不断强化作为统一战线理论研究基地的作用，积极开展提高多党合作效能的咨政研究；创新培训理念、培训内容、培训模式、培训方法，打造学院教育培训新格局，不断提升学院综合办学能力，确保高质量完成2020年教育培训任务，进一步增强学员对坚持中国共产党的领导、坚持中国共产党的多党合作和政治协商制度的政治认同、理论认同和情感认同，进一步坚定学员中国特色社会主义道路自信、理论自信、制度自信和文化自信。</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根据省委统战部2020年教育培训计划（拟定计划）中拟在省社院举办的主体班次安排，2020年计划全年举办培训班次27期，培训人数2120人，培训天数130天。培训计划完成率达到90%以上，学员满意度达到90%以上，保证培训计划圆满完成，充分发挥社会主义学院的职能作用。</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加强干部教师培训、交流及培养</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加强干部教师培训、交流、培养，根据工作需要选派干部教师进修学习、组织培训班、参加院外相关工作培训班或研讨会等，进一步提高干部教师的理论素质和业务水平及实际工作能力，培养造就适应新时代统一战线教育培训工作要求的优秀干部和教师队伍，在对民主党派代表人士、无党派代表人士、党外知识分子、少数民族人士、宗教界人士、非公有制经济人士、新的社会阶层人士等统一战线成员的培训中，进一步创新培训理念、培训内容、培训模式、培训方法，更好的宣传和研究党的统战理论、方针和政策。</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绩效指标：全院干部教师通过进修、学习、培训和交流，完成教学研究报告数量达到2个以上，课程开发通过数量达到5个以上，课程开发合格率达90%以上，干部教师培训进修比例达到30%以上。</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理论研究进一步加强</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围绕全省统一战线工作实际，搞好调查研究，推进理论探索和创新，加强科研咨政建设；宣传党和国家的路线方针政策，加强《河北省社会主义学院学报》建设，深化教学培训、理论研究成果及转化，充分发挥社会主义学院作为统一战线理论研究基地的作用。</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为我省统战工作和经济社会发展的需要服务，积极完成本院和省部级及以上科研项目，论文发表数量不少于10篇，申请获批统战系统及以上研究项目数量不少于2项，完成学院重点课题《西柏坡：人民政协从这里走来》的出版发行；完成全年四期《学报》的公开出版。</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进一步加强文化交流</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通过赴外省市中华文化学院调研、聘任河北中华文化学院客座教授、举办京津冀统战系统文化专题培训班等活动，学习先进工作理念与经验；出台关于加强和改进河北中华文化学院工作的实施办法；充实我院兼职教师队伍，提高教育培训质量；开展以爱国主义为宗旨、以中华文化为主要内容的培训，加强对统一战线各领域成员的中华优秀传统文化、社会主义先进文化的教育。</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通过面向港澳台同胞和海外侨胞开展国情教育和中华文化研修，开展出国（境）访问和文化交流活动，不断增强港澳同胞的国家意识和爱国精神，争取台湾民心认同，促进海外侨心凝聚，讲好中国故事，传播好中国声音，展示好中国形象，助推中华文化的国际传播，在凝聚全人类共同价值、构建人类命运共同体中发挥应有作用。</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绩效指标：全年开展活动次数不少于8次，培训、联谊、研修等活动人数100人次以上。</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加强教学事务管理</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绩效目标：加强学院设施和环境建设，提高后勤保障能力，不断提高学院综合办学能力，改善办学条件，确保教育培训工作正常开展。</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绩效指标：加快学院基本建设工程施工进度，及时按施工进度支付基本建设项目资金，按施工进度支付工程款率达100%。</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（三）工作保障措施</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完善工作机制</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根据《河北省省级部门预算绩效管理办法》、《河北省省级部门预算绩效运行监控工作规范》等文件规定，加强预算绩效管理，围绕年度总体绩效目标和分项绩效目标，明确责任主体和责任人，细化落实措施，确保绩效目标年内全部完成。</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加强支出管理</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优化支出结构，编细编实预算，加快履行政府采购手续，尽早启动项目实施工作，在预算执行过程中加强督促和协调，加快项目执行，确保按进度要求实现资金支出。</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规范财务资产管理</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严格执行财务管理制度，严格审批程序，加强固定资产登记、使用和报废处置管理，做到支出合法合规，资产安全完整，财尽其效，物尽其用。</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加强绩效运行监控</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按要求开展绩效运行监控，发现问题及时采取措施，深入推进提质增效工作，不断提高资金使用效益，确保绩效目标如期保质实现。</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做好绩效自评</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按要求开展上年度部门绩效自评，对评价中发现的问题及时整改，提高财政资金使用效益。</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加强内部监督</w:t>
      </w:r>
    </w:p>
    <w:p>
      <w:pPr>
        <w:spacing w:line="5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进一步加强单位内控管理，落实好“三重一大”集体决策制度，确保不相容职务分离，完善和加强监督机制，重点抓好</w:t>
      </w:r>
      <w:r>
        <w:rPr>
          <w:rFonts w:hint="eastAsia" w:ascii="Times New Roman" w:hAnsi="Times New Roman" w:eastAsia="方正仿宋_GBK" w:cs="Times New Roman"/>
          <w:sz w:val="32"/>
          <w:szCs w:val="32"/>
          <w:lang w:eastAsia="zh-CN"/>
        </w:rPr>
        <w:t>关键</w:t>
      </w:r>
      <w:r>
        <w:rPr>
          <w:rFonts w:ascii="Times New Roman" w:hAnsi="Times New Roman" w:eastAsia="方正仿宋_GBK" w:cs="Times New Roman"/>
          <w:sz w:val="32"/>
          <w:szCs w:val="32"/>
        </w:rPr>
        <w:t>环节和关键岗位，保证单位各项经济活动规范高效有序，财务信息真实完整，有效防范各种风险。根据实际需要开展内部审计工作，按上级规定及要求配合做好审计、财政监督等外部监督工作，对发现的问题进行认真深入整改，确保财政资金安全有效及各项绩效目标的实现。</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加强培训</w:t>
      </w:r>
    </w:p>
    <w:p>
      <w:pPr>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加强人员培训，提高本部门职工业务素质，加大宣传力度，强化预算绩效管理意识，促进预算绩效管理水平进一步提升。</w:t>
      </w:r>
    </w:p>
    <w:p>
      <w:pPr>
        <w:spacing w:line="14" w:lineRule="exact"/>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第二部分  预算项目绩效目标</w:t>
      </w:r>
    </w:p>
    <w:tbl>
      <w:tblPr>
        <w:tblStyle w:val="8"/>
        <w:tblW w:w="106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9"/>
        <w:gridCol w:w="8656"/>
        <w:gridCol w:w="7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15" w:type="dxa"/>
            <w:gridSpan w:val="2"/>
            <w:tcBorders>
              <w:top w:val="single" w:color="FFFFFF" w:sz="6" w:space="0"/>
              <w:left w:val="single" w:color="FFFFFF" w:sz="6" w:space="0"/>
              <w:right w:val="single" w:color="FFFFFF" w:sz="6" w:space="0"/>
            </w:tcBorders>
            <w:vAlign w:val="center"/>
          </w:tcPr>
          <w:p>
            <w:pPr>
              <w:rPr>
                <w:rFonts w:ascii="方正书宋_GBK" w:eastAsia="方正书宋_GBK"/>
                <w:b/>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b/>
                <w:sz w:val="32"/>
                <w:szCs w:val="32"/>
              </w:rPr>
              <w:t>省社会主义学院危房维修改造项目绩效目标表</w:t>
            </w:r>
          </w:p>
        </w:tc>
        <w:tc>
          <w:tcPr>
            <w:tcW w:w="70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0" w:hRule="atLeast"/>
          <w:jc w:val="center"/>
        </w:trPr>
        <w:tc>
          <w:tcPr>
            <w:tcW w:w="1259" w:type="dxa"/>
            <w:tcBorders>
              <w:bottom w:val="nil"/>
            </w:tcBorders>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绩效目标</w:t>
            </w:r>
          </w:p>
        </w:tc>
        <w:tc>
          <w:tcPr>
            <w:tcW w:w="9359" w:type="dxa"/>
            <w:gridSpan w:val="2"/>
            <w:tcBorders>
              <w:bottom w:val="nil"/>
            </w:tcBorders>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1、学院综合楼部分房间维修改造</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2、餐厅后厨进行维修改造，更换老旧设备</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3、对院内供热管道进行整体检查维修</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4、按照节能要求改造综合楼门窗</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5、对院内路灯进行检修更换</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6、配套安装学院大门门禁安监设施</w:t>
            </w:r>
          </w:p>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7、建设立体停车场</w:t>
            </w:r>
          </w:p>
        </w:tc>
      </w:tr>
    </w:tbl>
    <w:p>
      <w:pPr>
        <w:spacing w:line="14" w:lineRule="exact"/>
        <w:ind w:firstLine="420" w:firstLineChars="20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 </w:t>
      </w:r>
    </w:p>
    <w:tbl>
      <w:tblPr>
        <w:tblStyle w:val="8"/>
        <w:tblW w:w="105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5"/>
        <w:gridCol w:w="1560"/>
        <w:gridCol w:w="2685"/>
        <w:gridCol w:w="2410"/>
        <w:gridCol w:w="1275"/>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tblHeader/>
          <w:jc w:val="center"/>
        </w:trPr>
        <w:tc>
          <w:tcPr>
            <w:tcW w:w="1185" w:type="dxa"/>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一级指标</w:t>
            </w:r>
          </w:p>
        </w:tc>
        <w:tc>
          <w:tcPr>
            <w:tcW w:w="1560" w:type="dxa"/>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二级指标</w:t>
            </w:r>
          </w:p>
        </w:tc>
        <w:tc>
          <w:tcPr>
            <w:tcW w:w="2685" w:type="dxa"/>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三级指标</w:t>
            </w:r>
          </w:p>
        </w:tc>
        <w:tc>
          <w:tcPr>
            <w:tcW w:w="2410" w:type="dxa"/>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绩效指标描述</w:t>
            </w:r>
          </w:p>
        </w:tc>
        <w:tc>
          <w:tcPr>
            <w:tcW w:w="1275" w:type="dxa"/>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指标值</w:t>
            </w:r>
          </w:p>
        </w:tc>
        <w:tc>
          <w:tcPr>
            <w:tcW w:w="1473" w:type="dxa"/>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1185" w:type="dxa"/>
            <w:vMerge w:val="restart"/>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产出指标</w:t>
            </w:r>
          </w:p>
        </w:tc>
        <w:tc>
          <w:tcPr>
            <w:tcW w:w="1560"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数量指标</w:t>
            </w:r>
          </w:p>
        </w:tc>
        <w:tc>
          <w:tcPr>
            <w:tcW w:w="268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完成工程量及资金支出</w:t>
            </w:r>
          </w:p>
        </w:tc>
        <w:tc>
          <w:tcPr>
            <w:tcW w:w="2410"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完成工程量及资金支出</w:t>
            </w:r>
          </w:p>
        </w:tc>
        <w:tc>
          <w:tcPr>
            <w:tcW w:w="127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100%</w:t>
            </w:r>
          </w:p>
        </w:tc>
        <w:tc>
          <w:tcPr>
            <w:tcW w:w="1473"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相关统计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1185" w:type="dxa"/>
            <w:vMerge w:val="continue"/>
            <w:vAlign w:val="center"/>
          </w:tcPr>
          <w:p>
            <w:pPr>
              <w:spacing w:line="300" w:lineRule="exact"/>
              <w:jc w:val="center"/>
              <w:rPr>
                <w:rFonts w:ascii="方正仿宋_GBK" w:hAnsi="方正仿宋_GBK" w:eastAsia="方正仿宋_GBK" w:cs="方正仿宋_GBK"/>
                <w:szCs w:val="21"/>
              </w:rPr>
            </w:pPr>
          </w:p>
        </w:tc>
        <w:tc>
          <w:tcPr>
            <w:tcW w:w="1560"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质量指标</w:t>
            </w:r>
          </w:p>
        </w:tc>
        <w:tc>
          <w:tcPr>
            <w:tcW w:w="268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按国家验收标准完成验收工程</w:t>
            </w:r>
          </w:p>
        </w:tc>
        <w:tc>
          <w:tcPr>
            <w:tcW w:w="2410"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按国家验收标准完成验收工程</w:t>
            </w:r>
          </w:p>
        </w:tc>
        <w:tc>
          <w:tcPr>
            <w:tcW w:w="127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100%</w:t>
            </w:r>
          </w:p>
        </w:tc>
        <w:tc>
          <w:tcPr>
            <w:tcW w:w="1473"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相关统计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5" w:hRule="atLeast"/>
          <w:jc w:val="center"/>
        </w:trPr>
        <w:tc>
          <w:tcPr>
            <w:tcW w:w="1185" w:type="dxa"/>
            <w:vMerge w:val="continue"/>
            <w:vAlign w:val="center"/>
          </w:tcPr>
          <w:p>
            <w:pPr>
              <w:spacing w:line="300" w:lineRule="exact"/>
              <w:jc w:val="center"/>
              <w:rPr>
                <w:rFonts w:ascii="方正仿宋_GBK" w:hAnsi="方正仿宋_GBK" w:eastAsia="方正仿宋_GBK" w:cs="方正仿宋_GBK"/>
                <w:szCs w:val="21"/>
              </w:rPr>
            </w:pPr>
          </w:p>
        </w:tc>
        <w:tc>
          <w:tcPr>
            <w:tcW w:w="1560"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时效指标</w:t>
            </w:r>
          </w:p>
        </w:tc>
        <w:tc>
          <w:tcPr>
            <w:tcW w:w="268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按合同约定及工程进度支付及时支付工程款</w:t>
            </w:r>
          </w:p>
        </w:tc>
        <w:tc>
          <w:tcPr>
            <w:tcW w:w="2410"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按合同约定及工程进度支付及时支付工程款</w:t>
            </w:r>
          </w:p>
        </w:tc>
        <w:tc>
          <w:tcPr>
            <w:tcW w:w="127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及时支付</w:t>
            </w:r>
          </w:p>
        </w:tc>
        <w:tc>
          <w:tcPr>
            <w:tcW w:w="1473"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相关统计</w:t>
            </w:r>
          </w:p>
        </w:tc>
      </w:tr>
    </w:tbl>
    <w:p>
      <w:pPr>
        <w:ind w:firstLine="560"/>
        <w:rPr>
          <w:rFonts w:ascii="宋体" w:hAnsi="宋体" w:eastAsia="宋体" w:cs="宋体"/>
          <w:sz w:val="32"/>
          <w:szCs w:val="32"/>
        </w:rPr>
      </w:pPr>
    </w:p>
    <w:p>
      <w:pPr>
        <w:ind w:firstLine="560"/>
        <w:rPr>
          <w:rFonts w:ascii="方正仿宋_GBK" w:hAnsi="宋体" w:eastAsia="方正仿宋_GBK" w:cs="宋体"/>
          <w:sz w:val="32"/>
          <w:szCs w:val="32"/>
        </w:rPr>
      </w:pPr>
      <w:r>
        <w:rPr>
          <w:rFonts w:hint="eastAsia" w:ascii="方正仿宋_GBK" w:hAnsi="宋体" w:eastAsia="方正仿宋_GBK" w:cs="宋体"/>
          <w:sz w:val="32"/>
          <w:szCs w:val="32"/>
        </w:rPr>
        <w:t>2、</w:t>
      </w:r>
      <w:r>
        <w:rPr>
          <w:rFonts w:hint="eastAsia" w:ascii="方正仿宋_GBK" w:hAnsi="宋体" w:eastAsia="方正仿宋_GBK" w:cs="宋体"/>
          <w:b/>
          <w:sz w:val="32"/>
          <w:szCs w:val="32"/>
        </w:rPr>
        <w:t>主体班培训费</w:t>
      </w:r>
      <w:r>
        <w:rPr>
          <w:rFonts w:hint="eastAsia" w:ascii="方正仿宋_GBK" w:hAnsi="宋体" w:eastAsia="方正仿宋_GBK" w:cs="宋体"/>
          <w:b/>
          <w:sz w:val="32"/>
          <w:szCs w:val="32"/>
          <w:lang w:val="en-US" w:eastAsia="zh-CN"/>
        </w:rPr>
        <w:t>绩效</w:t>
      </w:r>
      <w:r>
        <w:rPr>
          <w:rFonts w:hint="eastAsia" w:ascii="方正仿宋_GBK" w:hAnsi="宋体" w:eastAsia="方正仿宋_GBK" w:cs="宋体"/>
          <w:b/>
          <w:sz w:val="32"/>
          <w:szCs w:val="32"/>
        </w:rPr>
        <w:t>目标表</w:t>
      </w:r>
      <w:bookmarkEnd w:id="0"/>
    </w:p>
    <w:tbl>
      <w:tblPr>
        <w:tblStyle w:val="8"/>
        <w:tblW w:w="116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4"/>
        <w:gridCol w:w="106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jc w:val="center"/>
        </w:trPr>
        <w:tc>
          <w:tcPr>
            <w:tcW w:w="1074" w:type="dxa"/>
            <w:tcBorders>
              <w:bottom w:val="nil"/>
            </w:tcBorders>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绩效目标</w:t>
            </w:r>
          </w:p>
        </w:tc>
        <w:tc>
          <w:tcPr>
            <w:tcW w:w="10605" w:type="dxa"/>
            <w:tcBorders>
              <w:bottom w:val="nil"/>
            </w:tcBorders>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1、完成省委统战部2020年教育培训计划中在省社院举办的主体班次的培训</w:t>
            </w:r>
          </w:p>
        </w:tc>
      </w:tr>
    </w:tbl>
    <w:p>
      <w:pPr>
        <w:spacing w:line="14" w:lineRule="exact"/>
        <w:ind w:firstLine="420" w:firstLineChars="20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 </w:t>
      </w:r>
    </w:p>
    <w:tbl>
      <w:tblPr>
        <w:tblStyle w:val="8"/>
        <w:tblW w:w="116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3"/>
        <w:gridCol w:w="1494"/>
        <w:gridCol w:w="1388"/>
        <w:gridCol w:w="2235"/>
        <w:gridCol w:w="1455"/>
        <w:gridCol w:w="3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tblHeader/>
          <w:jc w:val="center"/>
        </w:trPr>
        <w:tc>
          <w:tcPr>
            <w:tcW w:w="1113" w:type="dxa"/>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一级指标</w:t>
            </w:r>
          </w:p>
        </w:tc>
        <w:tc>
          <w:tcPr>
            <w:tcW w:w="1494" w:type="dxa"/>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二级指标</w:t>
            </w:r>
          </w:p>
        </w:tc>
        <w:tc>
          <w:tcPr>
            <w:tcW w:w="1388" w:type="dxa"/>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三级指标</w:t>
            </w:r>
          </w:p>
        </w:tc>
        <w:tc>
          <w:tcPr>
            <w:tcW w:w="2235" w:type="dxa"/>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绩效指标描述</w:t>
            </w:r>
          </w:p>
        </w:tc>
        <w:tc>
          <w:tcPr>
            <w:tcW w:w="1455" w:type="dxa"/>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指标值</w:t>
            </w:r>
          </w:p>
        </w:tc>
        <w:tc>
          <w:tcPr>
            <w:tcW w:w="3990" w:type="dxa"/>
            <w:vAlign w:val="center"/>
          </w:tcPr>
          <w:p>
            <w:pPr>
              <w:spacing w:line="300" w:lineRule="exact"/>
              <w:jc w:val="center"/>
              <w:rPr>
                <w:rFonts w:ascii="方正仿宋_GBK" w:hAnsi="方正仿宋_GBK" w:eastAsia="方正仿宋_GBK" w:cs="方正仿宋_GBK"/>
                <w:b/>
                <w:szCs w:val="21"/>
              </w:rPr>
            </w:pPr>
            <w:r>
              <w:rPr>
                <w:rFonts w:hint="eastAsia" w:ascii="方正仿宋_GBK" w:hAnsi="方正仿宋_GBK" w:eastAsia="方正仿宋_GBK" w:cs="方正仿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0" w:hRule="atLeast"/>
          <w:jc w:val="center"/>
        </w:trPr>
        <w:tc>
          <w:tcPr>
            <w:tcW w:w="1113" w:type="dxa"/>
            <w:vMerge w:val="restart"/>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产出指标</w:t>
            </w:r>
          </w:p>
        </w:tc>
        <w:tc>
          <w:tcPr>
            <w:tcW w:w="1494"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数量指标</w:t>
            </w:r>
          </w:p>
        </w:tc>
        <w:tc>
          <w:tcPr>
            <w:tcW w:w="1388"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培训期数</w:t>
            </w:r>
          </w:p>
        </w:tc>
        <w:tc>
          <w:tcPr>
            <w:tcW w:w="223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计划举办27期培训班</w:t>
            </w:r>
          </w:p>
        </w:tc>
        <w:tc>
          <w:tcPr>
            <w:tcW w:w="145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≥90%</w:t>
            </w:r>
          </w:p>
        </w:tc>
        <w:tc>
          <w:tcPr>
            <w:tcW w:w="3990"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省委统战部2020年教育培训计划（拟定）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5" w:hRule="atLeast"/>
          <w:jc w:val="center"/>
        </w:trPr>
        <w:tc>
          <w:tcPr>
            <w:tcW w:w="1113" w:type="dxa"/>
            <w:vMerge w:val="continue"/>
            <w:vAlign w:val="center"/>
          </w:tcPr>
          <w:p>
            <w:pPr>
              <w:spacing w:line="300" w:lineRule="exact"/>
              <w:jc w:val="center"/>
              <w:rPr>
                <w:rFonts w:ascii="方正仿宋_GBK" w:hAnsi="方正仿宋_GBK" w:eastAsia="方正仿宋_GBK" w:cs="方正仿宋_GBK"/>
                <w:szCs w:val="21"/>
              </w:rPr>
            </w:pPr>
          </w:p>
        </w:tc>
        <w:tc>
          <w:tcPr>
            <w:tcW w:w="1494"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数量指标</w:t>
            </w:r>
          </w:p>
        </w:tc>
        <w:tc>
          <w:tcPr>
            <w:tcW w:w="1388"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培训天数</w:t>
            </w:r>
          </w:p>
        </w:tc>
        <w:tc>
          <w:tcPr>
            <w:tcW w:w="223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计划培训天数130天</w:t>
            </w:r>
          </w:p>
        </w:tc>
        <w:tc>
          <w:tcPr>
            <w:tcW w:w="145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≥80%</w:t>
            </w:r>
          </w:p>
        </w:tc>
        <w:tc>
          <w:tcPr>
            <w:tcW w:w="3990"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省委统战部2020年教育培训计划（拟定）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113" w:type="dxa"/>
            <w:vMerge w:val="continue"/>
            <w:vAlign w:val="center"/>
          </w:tcPr>
          <w:p>
            <w:pPr>
              <w:spacing w:line="300" w:lineRule="exact"/>
              <w:jc w:val="center"/>
              <w:rPr>
                <w:rFonts w:ascii="方正仿宋_GBK" w:hAnsi="方正仿宋_GBK" w:eastAsia="方正仿宋_GBK" w:cs="方正仿宋_GBK"/>
                <w:szCs w:val="21"/>
              </w:rPr>
            </w:pPr>
          </w:p>
        </w:tc>
        <w:tc>
          <w:tcPr>
            <w:tcW w:w="1494"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数量指标</w:t>
            </w:r>
          </w:p>
        </w:tc>
        <w:tc>
          <w:tcPr>
            <w:tcW w:w="1388"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培训人数</w:t>
            </w:r>
          </w:p>
        </w:tc>
        <w:tc>
          <w:tcPr>
            <w:tcW w:w="223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计划培训人数2120人</w:t>
            </w:r>
          </w:p>
        </w:tc>
        <w:tc>
          <w:tcPr>
            <w:tcW w:w="145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≥80%</w:t>
            </w:r>
          </w:p>
        </w:tc>
        <w:tc>
          <w:tcPr>
            <w:tcW w:w="3990"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省委统战部2020年教育培训计划（拟定）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0" w:hRule="atLeast"/>
          <w:jc w:val="center"/>
        </w:trPr>
        <w:tc>
          <w:tcPr>
            <w:tcW w:w="1113" w:type="dxa"/>
            <w:vMerge w:val="continue"/>
            <w:vAlign w:val="center"/>
          </w:tcPr>
          <w:p>
            <w:pPr>
              <w:spacing w:line="300" w:lineRule="exact"/>
              <w:jc w:val="center"/>
              <w:rPr>
                <w:rFonts w:ascii="方正仿宋_GBK" w:hAnsi="方正仿宋_GBK" w:eastAsia="方正仿宋_GBK" w:cs="方正仿宋_GBK"/>
                <w:szCs w:val="21"/>
              </w:rPr>
            </w:pPr>
          </w:p>
        </w:tc>
        <w:tc>
          <w:tcPr>
            <w:tcW w:w="1494"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时效指标</w:t>
            </w:r>
          </w:p>
        </w:tc>
        <w:tc>
          <w:tcPr>
            <w:tcW w:w="1388"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培训完成时间</w:t>
            </w:r>
          </w:p>
        </w:tc>
        <w:tc>
          <w:tcPr>
            <w:tcW w:w="223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培训计划完成时间</w:t>
            </w:r>
          </w:p>
        </w:tc>
        <w:tc>
          <w:tcPr>
            <w:tcW w:w="145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2020年12月</w:t>
            </w:r>
          </w:p>
        </w:tc>
        <w:tc>
          <w:tcPr>
            <w:tcW w:w="3990"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省委统战部2020年教育培训计划（拟定）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1113" w:type="dxa"/>
            <w:vMerge w:val="continue"/>
            <w:vAlign w:val="center"/>
          </w:tcPr>
          <w:p>
            <w:pPr>
              <w:spacing w:line="300" w:lineRule="exact"/>
              <w:jc w:val="center"/>
              <w:rPr>
                <w:rFonts w:ascii="方正仿宋_GBK" w:hAnsi="方正仿宋_GBK" w:eastAsia="方正仿宋_GBK" w:cs="方正仿宋_GBK"/>
                <w:szCs w:val="21"/>
              </w:rPr>
            </w:pPr>
          </w:p>
        </w:tc>
        <w:tc>
          <w:tcPr>
            <w:tcW w:w="1494"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成本指标</w:t>
            </w:r>
          </w:p>
        </w:tc>
        <w:tc>
          <w:tcPr>
            <w:tcW w:w="1388"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培训人均成本</w:t>
            </w:r>
          </w:p>
        </w:tc>
        <w:tc>
          <w:tcPr>
            <w:tcW w:w="223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培训人均成本</w:t>
            </w:r>
          </w:p>
        </w:tc>
        <w:tc>
          <w:tcPr>
            <w:tcW w:w="145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150元</w:t>
            </w:r>
          </w:p>
        </w:tc>
        <w:tc>
          <w:tcPr>
            <w:tcW w:w="3990"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《省属院校主体班培训经费管理办法》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60" w:hRule="atLeast"/>
          <w:jc w:val="center"/>
        </w:trPr>
        <w:tc>
          <w:tcPr>
            <w:tcW w:w="1113" w:type="dxa"/>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效果指标</w:t>
            </w:r>
          </w:p>
        </w:tc>
        <w:tc>
          <w:tcPr>
            <w:tcW w:w="1494"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社会效益指标</w:t>
            </w:r>
          </w:p>
        </w:tc>
        <w:tc>
          <w:tcPr>
            <w:tcW w:w="1388"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进一步推动</w:t>
            </w:r>
          </w:p>
        </w:tc>
        <w:tc>
          <w:tcPr>
            <w:tcW w:w="223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推动统一战线事业发展</w:t>
            </w:r>
          </w:p>
        </w:tc>
        <w:tc>
          <w:tcPr>
            <w:tcW w:w="145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进一步推动了统一战线事业发展</w:t>
            </w:r>
          </w:p>
        </w:tc>
        <w:tc>
          <w:tcPr>
            <w:tcW w:w="3990"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社会主义学院职能定位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5" w:hRule="atLeast"/>
          <w:jc w:val="center"/>
        </w:trPr>
        <w:tc>
          <w:tcPr>
            <w:tcW w:w="1113" w:type="dxa"/>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满意度指标</w:t>
            </w:r>
          </w:p>
        </w:tc>
        <w:tc>
          <w:tcPr>
            <w:tcW w:w="1494"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服务对象满意度指标</w:t>
            </w:r>
          </w:p>
        </w:tc>
        <w:tc>
          <w:tcPr>
            <w:tcW w:w="1388"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学员满意率</w:t>
            </w:r>
          </w:p>
        </w:tc>
        <w:tc>
          <w:tcPr>
            <w:tcW w:w="223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培训学员满意度</w:t>
            </w:r>
          </w:p>
        </w:tc>
        <w:tc>
          <w:tcPr>
            <w:tcW w:w="1455"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≥90%</w:t>
            </w:r>
          </w:p>
        </w:tc>
        <w:tc>
          <w:tcPr>
            <w:tcW w:w="3990" w:type="dxa"/>
            <w:vAlign w:val="center"/>
          </w:tcPr>
          <w:p>
            <w:pPr>
              <w:spacing w:line="3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部门职责活动</w:t>
            </w:r>
          </w:p>
        </w:tc>
      </w:tr>
    </w:tbl>
    <w:p>
      <w:pPr>
        <w:autoSpaceDE w:val="0"/>
        <w:autoSpaceDN w:val="0"/>
        <w:adjustRightInd w:val="0"/>
        <w:ind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outlineLvl w:val="0"/>
        <w:rPr>
          <w:rFonts w:ascii="方正仿宋_GBK" w:hAnsi="方正仿宋_GBK" w:eastAsia="方正仿宋_GBK" w:cs="方正仿宋_GBK"/>
          <w:sz w:val="32"/>
          <w:szCs w:val="24"/>
        </w:rPr>
      </w:pPr>
      <w:bookmarkStart w:id="1" w:name="_Toc471398468"/>
      <w:r>
        <w:rPr>
          <w:rFonts w:hint="eastAsia" w:ascii="Times New Roman" w:hAnsi="Times New Roman" w:eastAsia="方正仿宋_GBK" w:cs="Times New Roman"/>
          <w:sz w:val="32"/>
          <w:szCs w:val="24"/>
        </w:rPr>
        <w:t>2020年</w:t>
      </w:r>
      <w:r>
        <w:rPr>
          <w:rFonts w:hint="eastAsia" w:ascii="方正仿宋_GBK" w:hAnsi="方正仿宋_GBK" w:eastAsia="方正仿宋_GBK" w:cs="方正仿宋_GBK"/>
          <w:sz w:val="32"/>
          <w:szCs w:val="24"/>
        </w:rPr>
        <w:t>，我院安排政府采购预算961.4万元。具体内容见下表。</w:t>
      </w:r>
    </w:p>
    <w:p>
      <w:pPr>
        <w:jc w:val="center"/>
        <w:outlineLvl w:val="0"/>
        <w:rPr>
          <w:rFonts w:ascii="宋体" w:hAnsi="宋体" w:eastAsia="宋体" w:cs="宋体"/>
          <w:b/>
          <w:bCs/>
          <w:sz w:val="32"/>
          <w:szCs w:val="24"/>
        </w:rPr>
      </w:pPr>
      <w:r>
        <w:rPr>
          <w:rFonts w:hint="eastAsia" w:ascii="宋体" w:hAnsi="宋体" w:eastAsia="宋体" w:cs="宋体"/>
          <w:b/>
          <w:bCs/>
          <w:sz w:val="32"/>
          <w:szCs w:val="24"/>
        </w:rPr>
        <w:t>部门政府采购预算</w:t>
      </w:r>
      <w:bookmarkEnd w:id="1"/>
    </w:p>
    <w:tbl>
      <w:tblPr>
        <w:tblStyle w:val="8"/>
        <w:tblW w:w="139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4"/>
        <w:gridCol w:w="1200"/>
        <w:gridCol w:w="1388"/>
        <w:gridCol w:w="1462"/>
        <w:gridCol w:w="510"/>
        <w:gridCol w:w="825"/>
        <w:gridCol w:w="953"/>
        <w:gridCol w:w="960"/>
        <w:gridCol w:w="997"/>
        <w:gridCol w:w="1005"/>
        <w:gridCol w:w="750"/>
        <w:gridCol w:w="735"/>
        <w:gridCol w:w="720"/>
        <w:gridCol w:w="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72"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宋体" w:hAnsi="宋体" w:eastAsia="宋体" w:cs="宋体"/>
                <w:sz w:val="24"/>
              </w:rPr>
            </w:pPr>
            <w:r>
              <w:rPr>
                <w:rFonts w:hint="eastAsia" w:ascii="宋体" w:hAnsi="宋体" w:eastAsia="宋体" w:cs="宋体"/>
                <w:sz w:val="24"/>
              </w:rPr>
              <w:t>部门编码：[485]河北省社会主义学院</w:t>
            </w:r>
          </w:p>
        </w:tc>
        <w:tc>
          <w:tcPr>
            <w:tcW w:w="5932"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宋体" w:hAnsi="宋体" w:eastAsia="宋体" w:cs="宋体"/>
                <w:sz w:val="24"/>
              </w:rPr>
            </w:pPr>
            <w:r>
              <w:rPr>
                <w:rFonts w:hint="eastAsia" w:ascii="宋体" w:hAnsi="宋体" w:eastAsia="宋体" w:cs="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34" w:type="dxa"/>
            <w:gridSpan w:val="2"/>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政府采购项目来源</w:t>
            </w:r>
          </w:p>
        </w:tc>
        <w:tc>
          <w:tcPr>
            <w:tcW w:w="1388" w:type="dxa"/>
            <w:vMerge w:val="restart"/>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采购物品名称</w:t>
            </w:r>
          </w:p>
        </w:tc>
        <w:tc>
          <w:tcPr>
            <w:tcW w:w="1462" w:type="dxa"/>
            <w:vMerge w:val="restart"/>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政府采购目录序号</w:t>
            </w:r>
          </w:p>
        </w:tc>
        <w:tc>
          <w:tcPr>
            <w:tcW w:w="510" w:type="dxa"/>
            <w:vMerge w:val="restart"/>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数量  单位</w:t>
            </w:r>
          </w:p>
        </w:tc>
        <w:tc>
          <w:tcPr>
            <w:tcW w:w="825" w:type="dxa"/>
            <w:vMerge w:val="restart"/>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数量</w:t>
            </w:r>
          </w:p>
        </w:tc>
        <w:tc>
          <w:tcPr>
            <w:tcW w:w="953" w:type="dxa"/>
            <w:vMerge w:val="restart"/>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单价</w:t>
            </w:r>
          </w:p>
        </w:tc>
        <w:tc>
          <w:tcPr>
            <w:tcW w:w="5932" w:type="dxa"/>
            <w:gridSpan w:val="7"/>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634" w:type="dxa"/>
            <w:vMerge w:val="restart"/>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项目名称</w:t>
            </w:r>
          </w:p>
        </w:tc>
        <w:tc>
          <w:tcPr>
            <w:tcW w:w="1200" w:type="dxa"/>
            <w:vMerge w:val="restart"/>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预算资金</w:t>
            </w:r>
          </w:p>
        </w:tc>
        <w:tc>
          <w:tcPr>
            <w:tcW w:w="1388" w:type="dxa"/>
            <w:vMerge w:val="continue"/>
            <w:shd w:val="clear" w:color="auto" w:fill="auto"/>
            <w:vAlign w:val="center"/>
          </w:tcPr>
          <w:p>
            <w:pPr>
              <w:spacing w:line="300" w:lineRule="exact"/>
              <w:jc w:val="left"/>
              <w:outlineLvl w:val="0"/>
              <w:rPr>
                <w:rFonts w:ascii="宋体" w:hAnsi="宋体" w:eastAsia="宋体" w:cs="宋体"/>
              </w:rPr>
            </w:pPr>
          </w:p>
        </w:tc>
        <w:tc>
          <w:tcPr>
            <w:tcW w:w="1462" w:type="dxa"/>
            <w:vMerge w:val="continue"/>
            <w:shd w:val="clear" w:color="auto" w:fill="auto"/>
            <w:vAlign w:val="center"/>
          </w:tcPr>
          <w:p>
            <w:pPr>
              <w:spacing w:line="300" w:lineRule="exact"/>
              <w:jc w:val="left"/>
              <w:outlineLvl w:val="0"/>
              <w:rPr>
                <w:rFonts w:ascii="宋体" w:hAnsi="宋体" w:eastAsia="宋体" w:cs="宋体"/>
              </w:rPr>
            </w:pPr>
          </w:p>
        </w:tc>
        <w:tc>
          <w:tcPr>
            <w:tcW w:w="510" w:type="dxa"/>
            <w:vMerge w:val="continue"/>
            <w:shd w:val="clear" w:color="auto" w:fill="auto"/>
            <w:vAlign w:val="center"/>
          </w:tcPr>
          <w:p>
            <w:pPr>
              <w:spacing w:line="300" w:lineRule="exact"/>
              <w:jc w:val="left"/>
              <w:outlineLvl w:val="0"/>
              <w:rPr>
                <w:rFonts w:ascii="宋体" w:hAnsi="宋体" w:eastAsia="宋体" w:cs="宋体"/>
              </w:rPr>
            </w:pPr>
          </w:p>
        </w:tc>
        <w:tc>
          <w:tcPr>
            <w:tcW w:w="825" w:type="dxa"/>
            <w:vMerge w:val="continue"/>
            <w:shd w:val="clear" w:color="auto" w:fill="auto"/>
            <w:vAlign w:val="center"/>
          </w:tcPr>
          <w:p>
            <w:pPr>
              <w:spacing w:line="300" w:lineRule="exact"/>
              <w:jc w:val="left"/>
              <w:outlineLvl w:val="0"/>
              <w:rPr>
                <w:rFonts w:ascii="宋体" w:hAnsi="宋体" w:eastAsia="宋体" w:cs="宋体"/>
              </w:rPr>
            </w:pPr>
          </w:p>
        </w:tc>
        <w:tc>
          <w:tcPr>
            <w:tcW w:w="953" w:type="dxa"/>
            <w:vMerge w:val="continue"/>
            <w:shd w:val="clear" w:color="auto" w:fill="auto"/>
            <w:vAlign w:val="center"/>
          </w:tcPr>
          <w:p>
            <w:pPr>
              <w:spacing w:line="300" w:lineRule="exact"/>
              <w:jc w:val="left"/>
              <w:outlineLvl w:val="0"/>
              <w:rPr>
                <w:rFonts w:ascii="宋体" w:hAnsi="宋体" w:eastAsia="宋体" w:cs="宋体"/>
              </w:rPr>
            </w:pPr>
          </w:p>
        </w:tc>
        <w:tc>
          <w:tcPr>
            <w:tcW w:w="960" w:type="dxa"/>
            <w:vMerge w:val="restart"/>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总计</w:t>
            </w:r>
          </w:p>
        </w:tc>
        <w:tc>
          <w:tcPr>
            <w:tcW w:w="4207" w:type="dxa"/>
            <w:gridSpan w:val="5"/>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当年部门预算安排资金</w:t>
            </w:r>
          </w:p>
        </w:tc>
        <w:tc>
          <w:tcPr>
            <w:tcW w:w="765" w:type="dxa"/>
            <w:vMerge w:val="restart"/>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634" w:type="dxa"/>
            <w:vMerge w:val="continue"/>
            <w:shd w:val="clear" w:color="auto" w:fill="auto"/>
            <w:vAlign w:val="center"/>
          </w:tcPr>
          <w:p>
            <w:pPr>
              <w:spacing w:line="300" w:lineRule="exact"/>
              <w:jc w:val="left"/>
              <w:outlineLvl w:val="0"/>
              <w:rPr>
                <w:rFonts w:ascii="宋体" w:hAnsi="宋体" w:eastAsia="宋体" w:cs="宋体"/>
              </w:rPr>
            </w:pPr>
          </w:p>
        </w:tc>
        <w:tc>
          <w:tcPr>
            <w:tcW w:w="1200" w:type="dxa"/>
            <w:vMerge w:val="continue"/>
            <w:shd w:val="clear" w:color="auto" w:fill="auto"/>
            <w:vAlign w:val="center"/>
          </w:tcPr>
          <w:p>
            <w:pPr>
              <w:spacing w:line="300" w:lineRule="exact"/>
              <w:jc w:val="left"/>
              <w:outlineLvl w:val="0"/>
              <w:rPr>
                <w:rFonts w:ascii="宋体" w:hAnsi="宋体" w:eastAsia="宋体" w:cs="宋体"/>
              </w:rPr>
            </w:pPr>
          </w:p>
        </w:tc>
        <w:tc>
          <w:tcPr>
            <w:tcW w:w="1388" w:type="dxa"/>
            <w:vMerge w:val="continue"/>
            <w:shd w:val="clear" w:color="auto" w:fill="auto"/>
            <w:vAlign w:val="center"/>
          </w:tcPr>
          <w:p>
            <w:pPr>
              <w:spacing w:line="300" w:lineRule="exact"/>
              <w:jc w:val="left"/>
              <w:outlineLvl w:val="0"/>
              <w:rPr>
                <w:rFonts w:ascii="宋体" w:hAnsi="宋体" w:eastAsia="宋体" w:cs="宋体"/>
              </w:rPr>
            </w:pPr>
          </w:p>
        </w:tc>
        <w:tc>
          <w:tcPr>
            <w:tcW w:w="1462" w:type="dxa"/>
            <w:vMerge w:val="continue"/>
            <w:shd w:val="clear" w:color="auto" w:fill="auto"/>
            <w:vAlign w:val="center"/>
          </w:tcPr>
          <w:p>
            <w:pPr>
              <w:spacing w:line="300" w:lineRule="exact"/>
              <w:jc w:val="left"/>
              <w:outlineLvl w:val="0"/>
              <w:rPr>
                <w:rFonts w:ascii="宋体" w:hAnsi="宋体" w:eastAsia="宋体" w:cs="宋体"/>
              </w:rPr>
            </w:pPr>
          </w:p>
        </w:tc>
        <w:tc>
          <w:tcPr>
            <w:tcW w:w="510" w:type="dxa"/>
            <w:vMerge w:val="continue"/>
            <w:shd w:val="clear" w:color="auto" w:fill="auto"/>
            <w:vAlign w:val="center"/>
          </w:tcPr>
          <w:p>
            <w:pPr>
              <w:spacing w:line="300" w:lineRule="exact"/>
              <w:jc w:val="left"/>
              <w:outlineLvl w:val="0"/>
              <w:rPr>
                <w:rFonts w:ascii="宋体" w:hAnsi="宋体" w:eastAsia="宋体" w:cs="宋体"/>
              </w:rPr>
            </w:pPr>
          </w:p>
        </w:tc>
        <w:tc>
          <w:tcPr>
            <w:tcW w:w="825" w:type="dxa"/>
            <w:vMerge w:val="continue"/>
            <w:shd w:val="clear" w:color="auto" w:fill="auto"/>
            <w:vAlign w:val="center"/>
          </w:tcPr>
          <w:p>
            <w:pPr>
              <w:spacing w:line="300" w:lineRule="exact"/>
              <w:jc w:val="left"/>
              <w:outlineLvl w:val="0"/>
              <w:rPr>
                <w:rFonts w:ascii="宋体" w:hAnsi="宋体" w:eastAsia="宋体" w:cs="宋体"/>
              </w:rPr>
            </w:pPr>
          </w:p>
        </w:tc>
        <w:tc>
          <w:tcPr>
            <w:tcW w:w="953" w:type="dxa"/>
            <w:vMerge w:val="continue"/>
            <w:shd w:val="clear" w:color="auto" w:fill="auto"/>
            <w:vAlign w:val="center"/>
          </w:tcPr>
          <w:p>
            <w:pPr>
              <w:spacing w:line="300" w:lineRule="exact"/>
              <w:jc w:val="left"/>
              <w:outlineLvl w:val="0"/>
              <w:rPr>
                <w:rFonts w:ascii="宋体" w:hAnsi="宋体" w:eastAsia="宋体" w:cs="宋体"/>
              </w:rPr>
            </w:pPr>
          </w:p>
        </w:tc>
        <w:tc>
          <w:tcPr>
            <w:tcW w:w="960" w:type="dxa"/>
            <w:vMerge w:val="continue"/>
            <w:shd w:val="clear" w:color="auto" w:fill="auto"/>
            <w:vAlign w:val="center"/>
          </w:tcPr>
          <w:p>
            <w:pPr>
              <w:spacing w:line="300" w:lineRule="exact"/>
              <w:jc w:val="left"/>
              <w:outlineLvl w:val="0"/>
              <w:rPr>
                <w:rFonts w:ascii="宋体" w:hAnsi="宋体" w:eastAsia="宋体" w:cs="宋体"/>
              </w:rPr>
            </w:pPr>
          </w:p>
        </w:tc>
        <w:tc>
          <w:tcPr>
            <w:tcW w:w="997" w:type="dxa"/>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合计</w:t>
            </w:r>
          </w:p>
        </w:tc>
        <w:tc>
          <w:tcPr>
            <w:tcW w:w="1005" w:type="dxa"/>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一般公共预算拨款</w:t>
            </w:r>
          </w:p>
        </w:tc>
        <w:tc>
          <w:tcPr>
            <w:tcW w:w="750" w:type="dxa"/>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基金预算拨款</w:t>
            </w:r>
          </w:p>
        </w:tc>
        <w:tc>
          <w:tcPr>
            <w:tcW w:w="735" w:type="dxa"/>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财政专户核拨</w:t>
            </w:r>
          </w:p>
        </w:tc>
        <w:tc>
          <w:tcPr>
            <w:tcW w:w="720" w:type="dxa"/>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其他来源收入</w:t>
            </w:r>
          </w:p>
        </w:tc>
        <w:tc>
          <w:tcPr>
            <w:tcW w:w="765" w:type="dxa"/>
            <w:vMerge w:val="continue"/>
            <w:shd w:val="clear" w:color="auto" w:fill="auto"/>
            <w:vAlign w:val="center"/>
          </w:tcPr>
          <w:p>
            <w:pPr>
              <w:spacing w:line="300" w:lineRule="exact"/>
              <w:jc w:val="left"/>
              <w:outlineLvl w:val="0"/>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1634" w:type="dxa"/>
            <w:shd w:val="clear" w:color="auto" w:fill="auto"/>
            <w:vAlign w:val="center"/>
          </w:tcPr>
          <w:p>
            <w:pPr>
              <w:spacing w:line="300" w:lineRule="exact"/>
              <w:jc w:val="center"/>
              <w:rPr>
                <w:rFonts w:ascii="宋体" w:hAnsi="宋体" w:eastAsia="宋体" w:cs="宋体"/>
                <w:b/>
              </w:rPr>
            </w:pPr>
            <w:r>
              <w:rPr>
                <w:rFonts w:hint="eastAsia" w:ascii="宋体" w:hAnsi="宋体" w:eastAsia="宋体" w:cs="宋体"/>
                <w:b/>
              </w:rPr>
              <w:t>合　计</w:t>
            </w:r>
          </w:p>
        </w:tc>
        <w:tc>
          <w:tcPr>
            <w:tcW w:w="1200" w:type="dxa"/>
            <w:shd w:val="clear" w:color="auto" w:fill="auto"/>
            <w:vAlign w:val="center"/>
          </w:tcPr>
          <w:p>
            <w:pPr>
              <w:spacing w:line="300" w:lineRule="exact"/>
              <w:jc w:val="right"/>
              <w:rPr>
                <w:rFonts w:ascii="宋体" w:hAnsi="宋体" w:eastAsia="宋体" w:cs="宋体"/>
                <w:b/>
              </w:rPr>
            </w:pPr>
          </w:p>
        </w:tc>
        <w:tc>
          <w:tcPr>
            <w:tcW w:w="1388" w:type="dxa"/>
            <w:shd w:val="clear" w:color="auto" w:fill="auto"/>
            <w:vAlign w:val="center"/>
          </w:tcPr>
          <w:p>
            <w:pPr>
              <w:spacing w:line="300" w:lineRule="exact"/>
              <w:jc w:val="left"/>
              <w:rPr>
                <w:rFonts w:ascii="宋体" w:hAnsi="宋体" w:eastAsia="宋体" w:cs="宋体"/>
                <w:b/>
              </w:rPr>
            </w:pPr>
          </w:p>
        </w:tc>
        <w:tc>
          <w:tcPr>
            <w:tcW w:w="1462" w:type="dxa"/>
            <w:shd w:val="clear" w:color="auto" w:fill="auto"/>
            <w:vAlign w:val="center"/>
          </w:tcPr>
          <w:p>
            <w:pPr>
              <w:spacing w:line="300" w:lineRule="exact"/>
              <w:jc w:val="left"/>
              <w:rPr>
                <w:rFonts w:ascii="宋体" w:hAnsi="宋体" w:eastAsia="宋体" w:cs="宋体"/>
                <w:b/>
              </w:rPr>
            </w:pPr>
          </w:p>
        </w:tc>
        <w:tc>
          <w:tcPr>
            <w:tcW w:w="510" w:type="dxa"/>
            <w:shd w:val="clear" w:color="auto" w:fill="auto"/>
            <w:vAlign w:val="center"/>
          </w:tcPr>
          <w:p>
            <w:pPr>
              <w:spacing w:line="300" w:lineRule="exact"/>
              <w:jc w:val="left"/>
              <w:rPr>
                <w:rFonts w:ascii="宋体" w:hAnsi="宋体" w:eastAsia="宋体" w:cs="宋体"/>
                <w:b/>
              </w:rPr>
            </w:pPr>
          </w:p>
        </w:tc>
        <w:tc>
          <w:tcPr>
            <w:tcW w:w="825" w:type="dxa"/>
            <w:shd w:val="clear" w:color="auto" w:fill="auto"/>
            <w:vAlign w:val="center"/>
          </w:tcPr>
          <w:p>
            <w:pPr>
              <w:spacing w:line="300" w:lineRule="exact"/>
              <w:jc w:val="right"/>
              <w:rPr>
                <w:rFonts w:ascii="宋体" w:hAnsi="宋体" w:eastAsia="宋体" w:cs="宋体"/>
                <w:b/>
              </w:rPr>
            </w:pPr>
          </w:p>
        </w:tc>
        <w:tc>
          <w:tcPr>
            <w:tcW w:w="953" w:type="dxa"/>
            <w:shd w:val="clear" w:color="auto" w:fill="auto"/>
            <w:vAlign w:val="center"/>
          </w:tcPr>
          <w:p>
            <w:pPr>
              <w:spacing w:line="300" w:lineRule="exact"/>
              <w:jc w:val="right"/>
              <w:rPr>
                <w:rFonts w:ascii="宋体" w:hAnsi="宋体" w:eastAsia="宋体" w:cs="宋体"/>
                <w:b/>
              </w:rPr>
            </w:pPr>
          </w:p>
        </w:tc>
        <w:tc>
          <w:tcPr>
            <w:tcW w:w="960" w:type="dxa"/>
            <w:shd w:val="clear" w:color="auto" w:fill="auto"/>
            <w:vAlign w:val="center"/>
          </w:tcPr>
          <w:p>
            <w:pPr>
              <w:spacing w:line="300" w:lineRule="exact"/>
              <w:jc w:val="right"/>
              <w:rPr>
                <w:rFonts w:ascii="宋体" w:hAnsi="宋体" w:eastAsia="宋体" w:cs="宋体"/>
                <w:b/>
              </w:rPr>
            </w:pPr>
            <w:r>
              <w:rPr>
                <w:rFonts w:hint="eastAsia" w:ascii="宋体" w:hAnsi="宋体" w:eastAsia="宋体" w:cs="宋体"/>
                <w:b/>
              </w:rPr>
              <w:t>961.40</w:t>
            </w:r>
          </w:p>
        </w:tc>
        <w:tc>
          <w:tcPr>
            <w:tcW w:w="997" w:type="dxa"/>
            <w:shd w:val="clear" w:color="auto" w:fill="auto"/>
            <w:vAlign w:val="center"/>
          </w:tcPr>
          <w:p>
            <w:pPr>
              <w:spacing w:line="300" w:lineRule="exact"/>
              <w:jc w:val="right"/>
              <w:rPr>
                <w:rFonts w:ascii="宋体" w:hAnsi="宋体" w:eastAsia="宋体" w:cs="宋体"/>
                <w:b/>
              </w:rPr>
            </w:pPr>
            <w:r>
              <w:rPr>
                <w:rFonts w:hint="eastAsia" w:ascii="宋体" w:hAnsi="宋体" w:eastAsia="宋体" w:cs="宋体"/>
                <w:b/>
              </w:rPr>
              <w:t>961.40</w:t>
            </w:r>
          </w:p>
        </w:tc>
        <w:tc>
          <w:tcPr>
            <w:tcW w:w="1005" w:type="dxa"/>
            <w:shd w:val="clear" w:color="auto" w:fill="auto"/>
            <w:vAlign w:val="center"/>
          </w:tcPr>
          <w:p>
            <w:pPr>
              <w:spacing w:line="300" w:lineRule="exact"/>
              <w:jc w:val="right"/>
              <w:rPr>
                <w:rFonts w:ascii="宋体" w:hAnsi="宋体" w:eastAsia="宋体" w:cs="宋体"/>
                <w:b/>
              </w:rPr>
            </w:pPr>
            <w:r>
              <w:rPr>
                <w:rFonts w:hint="eastAsia" w:ascii="宋体" w:hAnsi="宋体" w:eastAsia="宋体" w:cs="宋体"/>
                <w:b/>
              </w:rPr>
              <w:t>961.40</w:t>
            </w:r>
          </w:p>
        </w:tc>
        <w:tc>
          <w:tcPr>
            <w:tcW w:w="750" w:type="dxa"/>
            <w:shd w:val="clear" w:color="auto" w:fill="auto"/>
            <w:vAlign w:val="center"/>
          </w:tcPr>
          <w:p>
            <w:pPr>
              <w:spacing w:line="300" w:lineRule="exact"/>
              <w:jc w:val="right"/>
              <w:rPr>
                <w:rFonts w:ascii="宋体" w:hAnsi="宋体" w:eastAsia="宋体" w:cs="宋体"/>
                <w:b/>
              </w:rPr>
            </w:pPr>
          </w:p>
        </w:tc>
        <w:tc>
          <w:tcPr>
            <w:tcW w:w="735" w:type="dxa"/>
            <w:shd w:val="clear" w:color="auto" w:fill="auto"/>
            <w:vAlign w:val="center"/>
          </w:tcPr>
          <w:p>
            <w:pPr>
              <w:spacing w:line="300" w:lineRule="exact"/>
              <w:jc w:val="right"/>
              <w:rPr>
                <w:rFonts w:ascii="宋体" w:hAnsi="宋体" w:eastAsia="宋体" w:cs="宋体"/>
                <w:b/>
              </w:rPr>
            </w:pPr>
          </w:p>
        </w:tc>
        <w:tc>
          <w:tcPr>
            <w:tcW w:w="720" w:type="dxa"/>
            <w:shd w:val="clear" w:color="auto" w:fill="auto"/>
            <w:vAlign w:val="center"/>
          </w:tcPr>
          <w:p>
            <w:pPr>
              <w:spacing w:line="300" w:lineRule="exact"/>
              <w:jc w:val="right"/>
              <w:rPr>
                <w:rFonts w:ascii="宋体" w:hAnsi="宋体" w:eastAsia="宋体" w:cs="宋体"/>
                <w:b/>
              </w:rPr>
            </w:pPr>
          </w:p>
        </w:tc>
        <w:tc>
          <w:tcPr>
            <w:tcW w:w="765" w:type="dxa"/>
            <w:shd w:val="clear" w:color="auto" w:fill="auto"/>
            <w:vAlign w:val="center"/>
          </w:tcPr>
          <w:p>
            <w:pPr>
              <w:spacing w:line="300" w:lineRule="exact"/>
              <w:jc w:val="right"/>
              <w:rPr>
                <w:rFonts w:ascii="宋体" w:hAnsi="宋体" w:eastAsia="宋体" w:cs="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其他印刷品</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A080299</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批</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0.50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0.50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0.50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0.50</w:t>
            </w:r>
          </w:p>
        </w:tc>
        <w:tc>
          <w:tcPr>
            <w:tcW w:w="750" w:type="dxa"/>
            <w:shd w:val="clear" w:color="auto" w:fill="auto"/>
            <w:vAlign w:val="center"/>
          </w:tcPr>
          <w:p>
            <w:pPr>
              <w:spacing w:line="300" w:lineRule="exact"/>
              <w:jc w:val="right"/>
              <w:rPr>
                <w:rFonts w:ascii="宋体" w:hAnsi="宋体" w:eastAsia="宋体" w:cs="宋体"/>
                <w:b/>
              </w:rPr>
            </w:pPr>
          </w:p>
        </w:tc>
        <w:tc>
          <w:tcPr>
            <w:tcW w:w="735" w:type="dxa"/>
            <w:shd w:val="clear" w:color="auto" w:fill="auto"/>
            <w:vAlign w:val="center"/>
          </w:tcPr>
          <w:p>
            <w:pPr>
              <w:spacing w:line="300" w:lineRule="exact"/>
              <w:jc w:val="right"/>
              <w:rPr>
                <w:rFonts w:ascii="宋体" w:hAnsi="宋体" w:eastAsia="宋体" w:cs="宋体"/>
                <w:b/>
              </w:rPr>
            </w:pPr>
          </w:p>
        </w:tc>
        <w:tc>
          <w:tcPr>
            <w:tcW w:w="720" w:type="dxa"/>
            <w:shd w:val="clear" w:color="auto" w:fill="auto"/>
            <w:vAlign w:val="center"/>
          </w:tcPr>
          <w:p>
            <w:pPr>
              <w:spacing w:line="300" w:lineRule="exact"/>
              <w:jc w:val="right"/>
              <w:rPr>
                <w:rFonts w:ascii="宋体" w:hAnsi="宋体" w:eastAsia="宋体" w:cs="宋体"/>
                <w:b/>
              </w:rPr>
            </w:pPr>
          </w:p>
        </w:tc>
        <w:tc>
          <w:tcPr>
            <w:tcW w:w="765" w:type="dxa"/>
            <w:shd w:val="clear" w:color="auto" w:fill="auto"/>
            <w:vAlign w:val="center"/>
          </w:tcPr>
          <w:p>
            <w:pPr>
              <w:spacing w:line="300" w:lineRule="exact"/>
              <w:jc w:val="right"/>
              <w:rPr>
                <w:rFonts w:ascii="宋体" w:hAnsi="宋体" w:eastAsia="宋体" w:cs="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一般会议服务</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C060102</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次</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1.92</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1.92</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1.92</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1.92</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机动车保险服务</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C15040201</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辆</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0.35</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0.35</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0.35</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0.35</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车辆维修和保养服务</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C050301</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辆</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2.00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2.00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2.00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2.00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其他办公消耗用品及类似物品</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A0999</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批</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1.70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1.70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1.70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1.70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其他文教用品</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A090499</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批</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0.30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0.30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0.30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0.30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文具</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A090401</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批</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2.00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2.00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2.00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2.00</w:t>
            </w:r>
          </w:p>
        </w:tc>
        <w:tc>
          <w:tcPr>
            <w:tcW w:w="750" w:type="dxa"/>
            <w:shd w:val="clear" w:color="auto" w:fill="auto"/>
            <w:vAlign w:val="center"/>
          </w:tcPr>
          <w:p>
            <w:pPr>
              <w:spacing w:line="300" w:lineRule="exact"/>
              <w:jc w:val="right"/>
              <w:rPr>
                <w:rFonts w:ascii="宋体" w:hAnsi="宋体" w:eastAsia="宋体" w:cs="宋体"/>
                <w:b/>
              </w:rPr>
            </w:pPr>
          </w:p>
        </w:tc>
        <w:tc>
          <w:tcPr>
            <w:tcW w:w="735" w:type="dxa"/>
            <w:shd w:val="clear" w:color="auto" w:fill="auto"/>
            <w:vAlign w:val="center"/>
          </w:tcPr>
          <w:p>
            <w:pPr>
              <w:spacing w:line="300" w:lineRule="exact"/>
              <w:jc w:val="right"/>
              <w:rPr>
                <w:rFonts w:ascii="宋体" w:hAnsi="宋体" w:eastAsia="宋体" w:cs="宋体"/>
                <w:b/>
              </w:rPr>
            </w:pPr>
          </w:p>
        </w:tc>
        <w:tc>
          <w:tcPr>
            <w:tcW w:w="720" w:type="dxa"/>
            <w:shd w:val="clear" w:color="auto" w:fill="auto"/>
            <w:vAlign w:val="center"/>
          </w:tcPr>
          <w:p>
            <w:pPr>
              <w:spacing w:line="300" w:lineRule="exact"/>
              <w:jc w:val="right"/>
              <w:rPr>
                <w:rFonts w:ascii="宋体" w:hAnsi="宋体" w:eastAsia="宋体" w:cs="宋体"/>
                <w:b/>
              </w:rPr>
            </w:pPr>
          </w:p>
        </w:tc>
        <w:tc>
          <w:tcPr>
            <w:tcW w:w="765" w:type="dxa"/>
            <w:shd w:val="clear" w:color="auto" w:fill="auto"/>
            <w:vAlign w:val="center"/>
          </w:tcPr>
          <w:p>
            <w:pPr>
              <w:spacing w:line="300" w:lineRule="exact"/>
              <w:jc w:val="right"/>
              <w:rPr>
                <w:rFonts w:ascii="宋体" w:hAnsi="宋体" w:eastAsia="宋体" w:cs="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鼓粉盒</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A090201</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批</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2.50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2.50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2.50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2.50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复印纸</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A090101</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批</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0.50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0.50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0.50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0.50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扫描仪</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A0201060901</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台</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0.40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0.40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0.40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0.40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多功能一体机</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A020204</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台</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3.00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0.25</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0.75</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0.75</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0.75</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传真通信设备</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A02081001</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台</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4.00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0.15</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0.60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0.60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0.60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空气净化设备</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A0206180205</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台</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20.00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0.09</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1.80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1.80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1.80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空气净化设备</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A0206180205</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台</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0.09</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0.90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0.90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0.90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同声现场翻译设备及附属设备</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A02091303</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批</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3.02</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3.02</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3.02</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3.02</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保险柜</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A060502</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台</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0.15</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0.15</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0.15</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0.15</w:t>
            </w:r>
          </w:p>
        </w:tc>
        <w:tc>
          <w:tcPr>
            <w:tcW w:w="750" w:type="dxa"/>
            <w:shd w:val="clear" w:color="auto" w:fill="auto"/>
            <w:vAlign w:val="center"/>
          </w:tcPr>
          <w:p>
            <w:pPr>
              <w:spacing w:line="300" w:lineRule="exact"/>
              <w:jc w:val="right"/>
              <w:rPr>
                <w:rFonts w:ascii="宋体" w:hAnsi="宋体" w:eastAsia="宋体" w:cs="宋体"/>
                <w:b/>
              </w:rPr>
            </w:pPr>
          </w:p>
        </w:tc>
        <w:tc>
          <w:tcPr>
            <w:tcW w:w="735" w:type="dxa"/>
            <w:shd w:val="clear" w:color="auto" w:fill="auto"/>
            <w:vAlign w:val="center"/>
          </w:tcPr>
          <w:p>
            <w:pPr>
              <w:spacing w:line="300" w:lineRule="exact"/>
              <w:jc w:val="right"/>
              <w:rPr>
                <w:rFonts w:ascii="宋体" w:hAnsi="宋体" w:eastAsia="宋体" w:cs="宋体"/>
                <w:b/>
              </w:rPr>
            </w:pPr>
          </w:p>
        </w:tc>
        <w:tc>
          <w:tcPr>
            <w:tcW w:w="720" w:type="dxa"/>
            <w:shd w:val="clear" w:color="auto" w:fill="auto"/>
            <w:vAlign w:val="center"/>
          </w:tcPr>
          <w:p>
            <w:pPr>
              <w:spacing w:line="300" w:lineRule="exact"/>
              <w:jc w:val="right"/>
              <w:rPr>
                <w:rFonts w:ascii="宋体" w:hAnsi="宋体" w:eastAsia="宋体" w:cs="宋体"/>
                <w:b/>
              </w:rPr>
            </w:pPr>
          </w:p>
        </w:tc>
        <w:tc>
          <w:tcPr>
            <w:tcW w:w="765" w:type="dxa"/>
            <w:shd w:val="clear" w:color="auto" w:fill="auto"/>
            <w:vAlign w:val="center"/>
          </w:tcPr>
          <w:p>
            <w:pPr>
              <w:spacing w:line="300" w:lineRule="exact"/>
              <w:jc w:val="right"/>
              <w:rPr>
                <w:rFonts w:ascii="宋体" w:hAnsi="宋体" w:eastAsia="宋体" w:cs="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音视频播放设备</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A02091301</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套</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1.01</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1.01</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1.01</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1.01</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其他存储设备</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A02010599</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台</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0.50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0.50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0.50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0.50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空调机组</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A02052305</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台</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0.40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0.40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0.40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0.40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激光打印机</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A0201060102</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台</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0.40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0.40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0.40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0.40</w:t>
            </w:r>
          </w:p>
        </w:tc>
        <w:tc>
          <w:tcPr>
            <w:tcW w:w="750" w:type="dxa"/>
            <w:shd w:val="clear" w:color="auto" w:fill="auto"/>
            <w:vAlign w:val="center"/>
          </w:tcPr>
          <w:p>
            <w:pPr>
              <w:spacing w:line="300" w:lineRule="exact"/>
              <w:jc w:val="right"/>
              <w:rPr>
                <w:rFonts w:ascii="宋体" w:hAnsi="宋体" w:eastAsia="宋体" w:cs="宋体"/>
                <w:b/>
              </w:rPr>
            </w:pPr>
          </w:p>
        </w:tc>
        <w:tc>
          <w:tcPr>
            <w:tcW w:w="735" w:type="dxa"/>
            <w:shd w:val="clear" w:color="auto" w:fill="auto"/>
            <w:vAlign w:val="center"/>
          </w:tcPr>
          <w:p>
            <w:pPr>
              <w:spacing w:line="300" w:lineRule="exact"/>
              <w:jc w:val="right"/>
              <w:rPr>
                <w:rFonts w:ascii="宋体" w:hAnsi="宋体" w:eastAsia="宋体" w:cs="宋体"/>
                <w:b/>
              </w:rPr>
            </w:pPr>
          </w:p>
        </w:tc>
        <w:tc>
          <w:tcPr>
            <w:tcW w:w="720" w:type="dxa"/>
            <w:shd w:val="clear" w:color="auto" w:fill="auto"/>
            <w:vAlign w:val="center"/>
          </w:tcPr>
          <w:p>
            <w:pPr>
              <w:spacing w:line="300" w:lineRule="exact"/>
              <w:jc w:val="right"/>
              <w:rPr>
                <w:rFonts w:ascii="宋体" w:hAnsi="宋体" w:eastAsia="宋体" w:cs="宋体"/>
                <w:b/>
              </w:rPr>
            </w:pPr>
          </w:p>
        </w:tc>
        <w:tc>
          <w:tcPr>
            <w:tcW w:w="765" w:type="dxa"/>
            <w:shd w:val="clear" w:color="auto" w:fill="auto"/>
            <w:vAlign w:val="center"/>
          </w:tcPr>
          <w:p>
            <w:pPr>
              <w:spacing w:line="300" w:lineRule="exact"/>
              <w:jc w:val="right"/>
              <w:rPr>
                <w:rFonts w:ascii="宋体" w:hAnsi="宋体" w:eastAsia="宋体" w:cs="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日常公用经费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243.00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台式计算机</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A02010104</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台</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4.00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0.90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3.60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3.60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3.60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教育及科研活动经费</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60.00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其他印刷品</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A080299</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批</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9.10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9.10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9.10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9.10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省社会主义学院危房维修改造项目</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927.00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工程监理服务</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C1006</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项</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50.00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50.00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50.00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50.00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省社会主义学院危房维修改造项目</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927.00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工程设计服务</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C1003</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项</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50.00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50.00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50.00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50.00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5" w:hRule="atLeast"/>
          <w:jc w:val="center"/>
        </w:trPr>
        <w:tc>
          <w:tcPr>
            <w:tcW w:w="1634"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省社会主义学院危房维修改造项目</w:t>
            </w:r>
          </w:p>
        </w:tc>
        <w:tc>
          <w:tcPr>
            <w:tcW w:w="120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927.00</w:t>
            </w:r>
          </w:p>
        </w:tc>
        <w:tc>
          <w:tcPr>
            <w:tcW w:w="1388"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房屋修缮</w:t>
            </w:r>
          </w:p>
        </w:tc>
        <w:tc>
          <w:tcPr>
            <w:tcW w:w="1462"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B0801</w:t>
            </w:r>
          </w:p>
        </w:tc>
        <w:tc>
          <w:tcPr>
            <w:tcW w:w="510" w:type="dxa"/>
            <w:shd w:val="clear" w:color="auto" w:fill="auto"/>
            <w:vAlign w:val="center"/>
          </w:tcPr>
          <w:p>
            <w:pPr>
              <w:spacing w:line="300" w:lineRule="exact"/>
              <w:jc w:val="left"/>
              <w:rPr>
                <w:rFonts w:ascii="宋体" w:hAnsi="宋体" w:eastAsia="宋体" w:cs="宋体"/>
              </w:rPr>
            </w:pPr>
            <w:r>
              <w:rPr>
                <w:rFonts w:hint="eastAsia" w:ascii="宋体" w:hAnsi="宋体" w:eastAsia="宋体" w:cs="宋体"/>
              </w:rPr>
              <w:t>项</w:t>
            </w:r>
          </w:p>
        </w:tc>
        <w:tc>
          <w:tcPr>
            <w:tcW w:w="82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1.00</w:t>
            </w:r>
          </w:p>
        </w:tc>
        <w:tc>
          <w:tcPr>
            <w:tcW w:w="953"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827.00</w:t>
            </w:r>
          </w:p>
        </w:tc>
        <w:tc>
          <w:tcPr>
            <w:tcW w:w="960"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827.00</w:t>
            </w:r>
          </w:p>
        </w:tc>
        <w:tc>
          <w:tcPr>
            <w:tcW w:w="997"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827.00</w:t>
            </w:r>
          </w:p>
        </w:tc>
        <w:tc>
          <w:tcPr>
            <w:tcW w:w="1005" w:type="dxa"/>
            <w:shd w:val="clear" w:color="auto" w:fill="auto"/>
            <w:vAlign w:val="center"/>
          </w:tcPr>
          <w:p>
            <w:pPr>
              <w:spacing w:line="300" w:lineRule="exact"/>
              <w:jc w:val="right"/>
              <w:rPr>
                <w:rFonts w:ascii="宋体" w:hAnsi="宋体" w:eastAsia="宋体" w:cs="宋体"/>
              </w:rPr>
            </w:pPr>
            <w:r>
              <w:rPr>
                <w:rFonts w:hint="eastAsia" w:ascii="宋体" w:hAnsi="宋体" w:eastAsia="宋体" w:cs="宋体"/>
              </w:rPr>
              <w:t>827.00</w:t>
            </w:r>
          </w:p>
        </w:tc>
        <w:tc>
          <w:tcPr>
            <w:tcW w:w="750" w:type="dxa"/>
            <w:shd w:val="clear" w:color="auto" w:fill="auto"/>
            <w:vAlign w:val="center"/>
          </w:tcPr>
          <w:p>
            <w:pPr>
              <w:spacing w:line="300" w:lineRule="exact"/>
              <w:jc w:val="right"/>
              <w:rPr>
                <w:rFonts w:ascii="宋体" w:hAnsi="宋体" w:eastAsia="宋体" w:cs="宋体"/>
              </w:rPr>
            </w:pPr>
          </w:p>
        </w:tc>
        <w:tc>
          <w:tcPr>
            <w:tcW w:w="735" w:type="dxa"/>
            <w:shd w:val="clear" w:color="auto" w:fill="auto"/>
            <w:vAlign w:val="center"/>
          </w:tcPr>
          <w:p>
            <w:pPr>
              <w:spacing w:line="300" w:lineRule="exact"/>
              <w:jc w:val="right"/>
              <w:rPr>
                <w:rFonts w:ascii="宋体" w:hAnsi="宋体" w:eastAsia="宋体" w:cs="宋体"/>
              </w:rPr>
            </w:pPr>
          </w:p>
        </w:tc>
        <w:tc>
          <w:tcPr>
            <w:tcW w:w="720" w:type="dxa"/>
            <w:shd w:val="clear" w:color="auto" w:fill="auto"/>
            <w:vAlign w:val="center"/>
          </w:tcPr>
          <w:p>
            <w:pPr>
              <w:spacing w:line="300" w:lineRule="exact"/>
              <w:jc w:val="right"/>
              <w:rPr>
                <w:rFonts w:ascii="宋体" w:hAnsi="宋体" w:eastAsia="宋体" w:cs="宋体"/>
              </w:rPr>
            </w:pPr>
          </w:p>
        </w:tc>
        <w:tc>
          <w:tcPr>
            <w:tcW w:w="765" w:type="dxa"/>
            <w:shd w:val="clear" w:color="auto" w:fill="auto"/>
            <w:vAlign w:val="center"/>
          </w:tcPr>
          <w:p>
            <w:pPr>
              <w:spacing w:line="300" w:lineRule="exact"/>
              <w:jc w:val="right"/>
              <w:rPr>
                <w:rFonts w:ascii="宋体" w:hAnsi="宋体" w:eastAsia="宋体" w:cs="宋体"/>
              </w:rPr>
            </w:pP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河北省社会主义学院上年末固定资产金额为4097.2598万元（详见下表），本年度各单位（处室）拟购置固定资产总额为961.4万元，主要为计算机设备、打印设备、空调、办公家具等，已列入政府采购预算，详见政府采购预算表。</w:t>
      </w:r>
    </w:p>
    <w:tbl>
      <w:tblPr>
        <w:tblStyle w:val="8"/>
        <w:tblW w:w="13482" w:type="dxa"/>
        <w:jc w:val="center"/>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jc w:val="center"/>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jc w:val="center"/>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编制部门：[485]河北省社会主义学院</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截止时间：2019年12月31日  </w:t>
            </w:r>
          </w:p>
        </w:tc>
      </w:tr>
      <w:tr>
        <w:tblPrEx>
          <w:tblCellMar>
            <w:top w:w="0" w:type="dxa"/>
            <w:left w:w="108" w:type="dxa"/>
            <w:bottom w:w="0" w:type="dxa"/>
            <w:right w:w="108" w:type="dxa"/>
          </w:tblCellMar>
        </w:tblPrEx>
        <w:trPr>
          <w:trHeight w:val="645" w:hRule="atLeast"/>
          <w:jc w:val="center"/>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85" w:hRule="atLeast"/>
          <w:jc w:val="center"/>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4097.2598</w:t>
            </w:r>
          </w:p>
        </w:tc>
      </w:tr>
      <w:tr>
        <w:tblPrEx>
          <w:tblCellMar>
            <w:top w:w="0" w:type="dxa"/>
            <w:left w:w="108" w:type="dxa"/>
            <w:bottom w:w="0" w:type="dxa"/>
            <w:right w:w="108" w:type="dxa"/>
          </w:tblCellMar>
        </w:tblPrEx>
        <w:trPr>
          <w:trHeight w:val="585" w:hRule="atLeast"/>
          <w:jc w:val="center"/>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cs="宋体"/>
                <w:kern w:val="0"/>
                <w:sz w:val="22"/>
              </w:rPr>
              <w:t>11794</w:t>
            </w:r>
          </w:p>
        </w:tc>
        <w:tc>
          <w:tcPr>
            <w:tcW w:w="51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cs="宋体"/>
                <w:kern w:val="0"/>
                <w:sz w:val="22"/>
              </w:rPr>
              <w:t>3023.73673</w:t>
            </w:r>
          </w:p>
        </w:tc>
      </w:tr>
      <w:tr>
        <w:tblPrEx>
          <w:tblCellMar>
            <w:top w:w="0" w:type="dxa"/>
            <w:left w:w="108" w:type="dxa"/>
            <w:bottom w:w="0" w:type="dxa"/>
            <w:right w:w="108" w:type="dxa"/>
          </w:tblCellMar>
        </w:tblPrEx>
        <w:trPr>
          <w:trHeight w:val="585" w:hRule="atLeast"/>
          <w:jc w:val="center"/>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525" w:hRule="atLeast"/>
          <w:jc w:val="center"/>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cs="宋体"/>
                <w:sz w:val="22"/>
              </w:rPr>
              <w:t>2</w:t>
            </w:r>
          </w:p>
        </w:tc>
        <w:tc>
          <w:tcPr>
            <w:tcW w:w="51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cs="宋体"/>
                <w:sz w:val="22"/>
              </w:rPr>
              <w:t>39.1</w:t>
            </w:r>
          </w:p>
        </w:tc>
      </w:tr>
      <w:tr>
        <w:tblPrEx>
          <w:tblCellMar>
            <w:top w:w="0" w:type="dxa"/>
            <w:left w:w="108" w:type="dxa"/>
            <w:bottom w:w="0" w:type="dxa"/>
            <w:right w:w="108" w:type="dxa"/>
          </w:tblCellMar>
        </w:tblPrEx>
        <w:trPr>
          <w:trHeight w:val="585" w:hRule="atLeast"/>
          <w:jc w:val="center"/>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615" w:hRule="atLeast"/>
          <w:jc w:val="center"/>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ascii="宋体" w:hAnsi="宋体" w:eastAsia="宋体" w:cs="宋体"/>
                <w:kern w:val="0"/>
                <w:sz w:val="22"/>
              </w:rPr>
              <w:t>1034.42307</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1、一般公共预算拨款收入：</w:t>
      </w:r>
      <w:r>
        <w:rPr>
          <w:rFonts w:hint="eastAsia" w:ascii="方正仿宋_GBK" w:hAnsi="方正仿宋_GBK" w:eastAsia="方正仿宋_GBK" w:cs="方正仿宋_GBK"/>
          <w:sz w:val="32"/>
          <w:szCs w:val="32"/>
        </w:rPr>
        <w:t>指省级财政当年拨付的资金。</w:t>
      </w:r>
    </w:p>
    <w:p>
      <w:pPr>
        <w:tabs>
          <w:tab w:val="left" w:pos="11490"/>
        </w:tabs>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2、事业收入：</w:t>
      </w:r>
      <w:r>
        <w:rPr>
          <w:rFonts w:hint="eastAsia" w:ascii="方正仿宋_GBK" w:hAnsi="方正仿宋_GBK" w:eastAsia="方正仿宋_GBK" w:cs="方正仿宋_GBK"/>
          <w:sz w:val="32"/>
          <w:szCs w:val="32"/>
        </w:rPr>
        <w:t>指事业单位开展专业业务活动及辅助活动所取得的收入。</w:t>
      </w:r>
    </w:p>
    <w:p>
      <w:pPr>
        <w:tabs>
          <w:tab w:val="left" w:pos="11490"/>
        </w:tabs>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3、其他收入：</w:t>
      </w:r>
      <w:r>
        <w:rPr>
          <w:rFonts w:hint="eastAsia" w:ascii="方正仿宋_GBK" w:hAnsi="方正仿宋_GBK" w:eastAsia="方正仿宋_GBK" w:cs="方正仿宋_GBK"/>
          <w:sz w:val="32"/>
          <w:szCs w:val="32"/>
        </w:rPr>
        <w:t>指除“一般公共预算拨款收入”、“事业收入”等以外的收入。主要是按规定动用的租房收入、存款利息收入等。</w:t>
      </w:r>
    </w:p>
    <w:p>
      <w:pPr>
        <w:tabs>
          <w:tab w:val="left" w:pos="11490"/>
        </w:tabs>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4、基本支出：</w:t>
      </w:r>
      <w:r>
        <w:rPr>
          <w:rFonts w:hint="eastAsia" w:ascii="方正仿宋_GBK" w:hAnsi="方正仿宋_GBK" w:eastAsia="方正仿宋_GBK" w:cs="方正仿宋_GBK"/>
          <w:sz w:val="32"/>
          <w:szCs w:val="32"/>
        </w:rPr>
        <w:t>指为保障机构正常运转、完成日常工作任务而发生的人员支出和公用支出。</w:t>
      </w:r>
    </w:p>
    <w:p>
      <w:pPr>
        <w:tabs>
          <w:tab w:val="left" w:pos="11490"/>
        </w:tabs>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5、项目支出：</w:t>
      </w:r>
      <w:r>
        <w:rPr>
          <w:rFonts w:hint="eastAsia" w:ascii="方正仿宋_GBK" w:hAnsi="方正仿宋_GBK" w:eastAsia="方正仿宋_GBK" w:cs="方正仿宋_GBK"/>
          <w:sz w:val="32"/>
          <w:szCs w:val="32"/>
        </w:rPr>
        <w:t>指在基本支出之外为完成特定行政任务和事业发展目标所发生的支出。</w:t>
      </w:r>
    </w:p>
    <w:p>
      <w:pPr>
        <w:tabs>
          <w:tab w:val="left" w:pos="11490"/>
        </w:tabs>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6、上缴上级支出：</w:t>
      </w:r>
      <w:r>
        <w:rPr>
          <w:rFonts w:hint="eastAsia" w:ascii="方正仿宋_GBK" w:hAnsi="方正仿宋_GBK" w:eastAsia="方正仿宋_GBK" w:cs="方正仿宋_GBK"/>
          <w:sz w:val="32"/>
          <w:szCs w:val="32"/>
        </w:rPr>
        <w:t>指下级单位上缴上级的支出。</w:t>
      </w:r>
    </w:p>
    <w:p>
      <w:pPr>
        <w:tabs>
          <w:tab w:val="left" w:pos="11490"/>
        </w:tabs>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7、“三公”经费：</w:t>
      </w:r>
      <w:r>
        <w:rPr>
          <w:rFonts w:hint="eastAsia" w:ascii="方正仿宋_GBK" w:hAnsi="方正仿宋_GBK" w:eastAsia="方正仿宋_GBK" w:cs="方正仿宋_GBK"/>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8、机关运行费：</w:t>
      </w:r>
      <w:r>
        <w:rPr>
          <w:rFonts w:hint="eastAsia" w:ascii="方正仿宋_GBK" w:hAnsi="方正仿宋_GBK" w:eastAsia="方正仿宋_GBK" w:cs="方正仿宋_GBK"/>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9、上年结转：</w:t>
      </w:r>
      <w:r>
        <w:rPr>
          <w:rFonts w:hint="eastAsia" w:ascii="方正仿宋_GBK" w:hAnsi="方正仿宋_GBK" w:eastAsia="方正仿宋_GBK" w:cs="方正仿宋_GBK"/>
          <w:sz w:val="32"/>
          <w:szCs w:val="32"/>
        </w:rPr>
        <w:t>指以前年度尚未完成、结转到本年仍按原规定用途继续使用的资金。</w:t>
      </w:r>
    </w:p>
    <w:p>
      <w:pPr>
        <w:tabs>
          <w:tab w:val="left" w:pos="11490"/>
        </w:tabs>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10、事业单位经营支出：</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autoSpaceDE w:val="0"/>
        <w:autoSpaceDN w:val="0"/>
        <w:adjustRightInd w:val="0"/>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E234B"/>
    <w:multiLevelType w:val="singleLevel"/>
    <w:tmpl w:val="044E234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YmFkZmU2OTgwZjRiYjgzNWQ3NGU3OTYyOTFmNDYifQ=="/>
  </w:docVars>
  <w:rsids>
    <w:rsidRoot w:val="00F66032"/>
    <w:rsid w:val="00034786"/>
    <w:rsid w:val="00037AF6"/>
    <w:rsid w:val="000405D0"/>
    <w:rsid w:val="0004257D"/>
    <w:rsid w:val="00042C51"/>
    <w:rsid w:val="00042F57"/>
    <w:rsid w:val="0006483E"/>
    <w:rsid w:val="00075D5F"/>
    <w:rsid w:val="0008102F"/>
    <w:rsid w:val="00087AAF"/>
    <w:rsid w:val="000B529B"/>
    <w:rsid w:val="000C3A19"/>
    <w:rsid w:val="000E617A"/>
    <w:rsid w:val="00104D5C"/>
    <w:rsid w:val="001245BB"/>
    <w:rsid w:val="001251A3"/>
    <w:rsid w:val="00146AA7"/>
    <w:rsid w:val="001B4EF3"/>
    <w:rsid w:val="001B5B76"/>
    <w:rsid w:val="001F7873"/>
    <w:rsid w:val="00241FD4"/>
    <w:rsid w:val="00251B12"/>
    <w:rsid w:val="00296113"/>
    <w:rsid w:val="002A1C8D"/>
    <w:rsid w:val="002A673A"/>
    <w:rsid w:val="002C07BE"/>
    <w:rsid w:val="002C5E13"/>
    <w:rsid w:val="002C62BC"/>
    <w:rsid w:val="002C7DF9"/>
    <w:rsid w:val="002E0EB8"/>
    <w:rsid w:val="002F126F"/>
    <w:rsid w:val="002F3E58"/>
    <w:rsid w:val="0030542C"/>
    <w:rsid w:val="00311B7A"/>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69C1"/>
    <w:rsid w:val="00516E04"/>
    <w:rsid w:val="00565588"/>
    <w:rsid w:val="00572067"/>
    <w:rsid w:val="00573562"/>
    <w:rsid w:val="00590ECE"/>
    <w:rsid w:val="00592ADD"/>
    <w:rsid w:val="005A2F44"/>
    <w:rsid w:val="00602878"/>
    <w:rsid w:val="00614A29"/>
    <w:rsid w:val="00643AA7"/>
    <w:rsid w:val="00673D76"/>
    <w:rsid w:val="00674CD7"/>
    <w:rsid w:val="006854F0"/>
    <w:rsid w:val="0069624B"/>
    <w:rsid w:val="006B1C4A"/>
    <w:rsid w:val="006B610D"/>
    <w:rsid w:val="006D2233"/>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30F7A"/>
    <w:rsid w:val="009425F4"/>
    <w:rsid w:val="00966C5C"/>
    <w:rsid w:val="00973104"/>
    <w:rsid w:val="00980965"/>
    <w:rsid w:val="00995BF0"/>
    <w:rsid w:val="009A16D5"/>
    <w:rsid w:val="009A353D"/>
    <w:rsid w:val="009B0B77"/>
    <w:rsid w:val="009B511E"/>
    <w:rsid w:val="00A02FED"/>
    <w:rsid w:val="00A44E3D"/>
    <w:rsid w:val="00A62942"/>
    <w:rsid w:val="00A72D2E"/>
    <w:rsid w:val="00A74447"/>
    <w:rsid w:val="00A74CE5"/>
    <w:rsid w:val="00A911E7"/>
    <w:rsid w:val="00A939D9"/>
    <w:rsid w:val="00B07D9E"/>
    <w:rsid w:val="00B20712"/>
    <w:rsid w:val="00B43238"/>
    <w:rsid w:val="00B450AA"/>
    <w:rsid w:val="00B45DD3"/>
    <w:rsid w:val="00B52632"/>
    <w:rsid w:val="00B60570"/>
    <w:rsid w:val="00B727A9"/>
    <w:rsid w:val="00B75216"/>
    <w:rsid w:val="00B771DF"/>
    <w:rsid w:val="00B91D52"/>
    <w:rsid w:val="00B9490F"/>
    <w:rsid w:val="00BA1ACD"/>
    <w:rsid w:val="00BA534E"/>
    <w:rsid w:val="00BD09F8"/>
    <w:rsid w:val="00BD4B2D"/>
    <w:rsid w:val="00BE0E8E"/>
    <w:rsid w:val="00C0360F"/>
    <w:rsid w:val="00CA585B"/>
    <w:rsid w:val="00CA7176"/>
    <w:rsid w:val="00CB3D48"/>
    <w:rsid w:val="00CB4665"/>
    <w:rsid w:val="00CC75B0"/>
    <w:rsid w:val="00CD2773"/>
    <w:rsid w:val="00CD31CC"/>
    <w:rsid w:val="00CE143B"/>
    <w:rsid w:val="00D0024A"/>
    <w:rsid w:val="00D27003"/>
    <w:rsid w:val="00DB4A9B"/>
    <w:rsid w:val="00DE0873"/>
    <w:rsid w:val="00E167C7"/>
    <w:rsid w:val="00E2482E"/>
    <w:rsid w:val="00E273A5"/>
    <w:rsid w:val="00E41AAA"/>
    <w:rsid w:val="00E61DF2"/>
    <w:rsid w:val="00E73D47"/>
    <w:rsid w:val="00EC47F6"/>
    <w:rsid w:val="00EE65B8"/>
    <w:rsid w:val="00F149E2"/>
    <w:rsid w:val="00F159B6"/>
    <w:rsid w:val="00F66032"/>
    <w:rsid w:val="00F728BF"/>
    <w:rsid w:val="00F87C1E"/>
    <w:rsid w:val="00F958C2"/>
    <w:rsid w:val="00FA3D33"/>
    <w:rsid w:val="00FE75D7"/>
    <w:rsid w:val="02537401"/>
    <w:rsid w:val="02A43259"/>
    <w:rsid w:val="03514A60"/>
    <w:rsid w:val="037608FA"/>
    <w:rsid w:val="043C3A4A"/>
    <w:rsid w:val="055F7DAC"/>
    <w:rsid w:val="05733E4E"/>
    <w:rsid w:val="063328B1"/>
    <w:rsid w:val="06454A71"/>
    <w:rsid w:val="075A5DC4"/>
    <w:rsid w:val="078D1A3B"/>
    <w:rsid w:val="09CF742D"/>
    <w:rsid w:val="0A334EE8"/>
    <w:rsid w:val="0B4A0B35"/>
    <w:rsid w:val="0B713EC6"/>
    <w:rsid w:val="0C732646"/>
    <w:rsid w:val="0D2C39E0"/>
    <w:rsid w:val="0D576FA9"/>
    <w:rsid w:val="0F686E98"/>
    <w:rsid w:val="1035667A"/>
    <w:rsid w:val="11E63582"/>
    <w:rsid w:val="120C4038"/>
    <w:rsid w:val="12366CAF"/>
    <w:rsid w:val="1526695A"/>
    <w:rsid w:val="19396398"/>
    <w:rsid w:val="195949AB"/>
    <w:rsid w:val="1B255B59"/>
    <w:rsid w:val="1CB72192"/>
    <w:rsid w:val="1D751BAD"/>
    <w:rsid w:val="1EF63986"/>
    <w:rsid w:val="1FAB3CF4"/>
    <w:rsid w:val="210B2494"/>
    <w:rsid w:val="215C3CD0"/>
    <w:rsid w:val="21667839"/>
    <w:rsid w:val="229D3114"/>
    <w:rsid w:val="23582180"/>
    <w:rsid w:val="25890583"/>
    <w:rsid w:val="264C1820"/>
    <w:rsid w:val="28622444"/>
    <w:rsid w:val="29563D51"/>
    <w:rsid w:val="29C46B3E"/>
    <w:rsid w:val="2B0109DD"/>
    <w:rsid w:val="2C2B2CB5"/>
    <w:rsid w:val="2FFF6D20"/>
    <w:rsid w:val="33543DA0"/>
    <w:rsid w:val="368230A8"/>
    <w:rsid w:val="3A8B773A"/>
    <w:rsid w:val="3B7C0AE3"/>
    <w:rsid w:val="3F6A0BE5"/>
    <w:rsid w:val="43673352"/>
    <w:rsid w:val="458B641A"/>
    <w:rsid w:val="466A1CA1"/>
    <w:rsid w:val="48142A2C"/>
    <w:rsid w:val="484D6766"/>
    <w:rsid w:val="48F752F7"/>
    <w:rsid w:val="49154DB9"/>
    <w:rsid w:val="4B40398B"/>
    <w:rsid w:val="4C3E05E7"/>
    <w:rsid w:val="4CF85345"/>
    <w:rsid w:val="4D380016"/>
    <w:rsid w:val="4DC17380"/>
    <w:rsid w:val="4EB622B1"/>
    <w:rsid w:val="4F8365EC"/>
    <w:rsid w:val="50235EF3"/>
    <w:rsid w:val="523C5733"/>
    <w:rsid w:val="52993D71"/>
    <w:rsid w:val="57621829"/>
    <w:rsid w:val="580E00D6"/>
    <w:rsid w:val="596C3D48"/>
    <w:rsid w:val="5CD40838"/>
    <w:rsid w:val="5D696B2D"/>
    <w:rsid w:val="60542C4C"/>
    <w:rsid w:val="60787A1B"/>
    <w:rsid w:val="632E7237"/>
    <w:rsid w:val="63B54253"/>
    <w:rsid w:val="653610F5"/>
    <w:rsid w:val="66CC58C7"/>
    <w:rsid w:val="67791758"/>
    <w:rsid w:val="67B172CE"/>
    <w:rsid w:val="6A99592C"/>
    <w:rsid w:val="6B033826"/>
    <w:rsid w:val="6C375CAE"/>
    <w:rsid w:val="6C6301D2"/>
    <w:rsid w:val="6E7609B6"/>
    <w:rsid w:val="6F772B52"/>
    <w:rsid w:val="6FC5223C"/>
    <w:rsid w:val="729741CE"/>
    <w:rsid w:val="76E76E75"/>
    <w:rsid w:val="7721329D"/>
    <w:rsid w:val="78C2720C"/>
    <w:rsid w:val="79C415C9"/>
    <w:rsid w:val="7A7C66D3"/>
    <w:rsid w:val="7D015A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2">
    <w:name w:val="Balloon Text"/>
    <w:basedOn w:val="1"/>
    <w:link w:val="15"/>
    <w:autoRedefine/>
    <w:unhideWhenUsed/>
    <w:qFormat/>
    <w:uiPriority w:val="99"/>
    <w:rPr>
      <w:sz w:val="18"/>
      <w:szCs w:val="18"/>
    </w:rPr>
  </w:style>
  <w:style w:type="paragraph" w:styleId="3">
    <w:name w:val="footer"/>
    <w:basedOn w:val="1"/>
    <w:link w:val="14"/>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qFormat/>
    <w:uiPriority w:val="39"/>
    <w:rPr>
      <w:rFonts w:ascii="Times New Roman" w:hAnsi="Times New Roman" w:eastAsia="宋体" w:cs="Times New Roman"/>
      <w:szCs w:val="24"/>
    </w:rPr>
  </w:style>
  <w:style w:type="paragraph" w:styleId="6">
    <w:name w:val="footnote text"/>
    <w:basedOn w:val="1"/>
    <w:link w:val="17"/>
    <w:autoRedefine/>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page number"/>
    <w:autoRedefine/>
    <w:unhideWhenUsed/>
    <w:qFormat/>
    <w:uiPriority w:val="99"/>
  </w:style>
  <w:style w:type="character" w:styleId="11">
    <w:name w:val="Hyperlink"/>
    <w:autoRedefine/>
    <w:unhideWhenUsed/>
    <w:qFormat/>
    <w:uiPriority w:val="99"/>
    <w:rPr>
      <w:color w:val="0000FF"/>
      <w:u w:val="single"/>
    </w:rPr>
  </w:style>
  <w:style w:type="character" w:styleId="12">
    <w:name w:val="footnote reference"/>
    <w:autoRedefine/>
    <w:unhideWhenUsed/>
    <w:qFormat/>
    <w:uiPriority w:val="99"/>
    <w:rPr>
      <w:vertAlign w:val="superscript"/>
    </w:rPr>
  </w:style>
  <w:style w:type="character" w:customStyle="1" w:styleId="13">
    <w:name w:val="页眉 Char"/>
    <w:basedOn w:val="9"/>
    <w:link w:val="4"/>
    <w:autoRedefine/>
    <w:qFormat/>
    <w:uiPriority w:val="99"/>
    <w:rPr>
      <w:rFonts w:ascii="Times New Roman" w:hAnsi="Times New Roman" w:eastAsia="宋体" w:cs="Times New Roman"/>
      <w:sz w:val="18"/>
      <w:szCs w:val="18"/>
    </w:rPr>
  </w:style>
  <w:style w:type="character" w:customStyle="1" w:styleId="14">
    <w:name w:val="页脚 Char"/>
    <w:basedOn w:val="9"/>
    <w:link w:val="3"/>
    <w:autoRedefine/>
    <w:qFormat/>
    <w:uiPriority w:val="99"/>
    <w:rPr>
      <w:rFonts w:ascii="Times New Roman" w:hAnsi="Times New Roman" w:eastAsia="宋体" w:cs="Times New Roman"/>
      <w:sz w:val="18"/>
      <w:szCs w:val="18"/>
    </w:rPr>
  </w:style>
  <w:style w:type="character" w:customStyle="1" w:styleId="15">
    <w:name w:val="批注框文本 Char"/>
    <w:basedOn w:val="9"/>
    <w:link w:val="2"/>
    <w:autoRedefine/>
    <w:semiHidden/>
    <w:qFormat/>
    <w:uiPriority w:val="99"/>
    <w:rPr>
      <w:sz w:val="18"/>
      <w:szCs w:val="18"/>
    </w:rPr>
  </w:style>
  <w:style w:type="paragraph" w:customStyle="1" w:styleId="16">
    <w:name w:val="Default"/>
    <w:autoRedefine/>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9"/>
    <w:link w:val="6"/>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E577-613F-45E1-9822-5B2AAE99C7F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5579</Words>
  <Characters>6528</Characters>
  <Lines>51</Lines>
  <Paragraphs>14</Paragraphs>
  <TotalTime>1</TotalTime>
  <ScaleCrop>false</ScaleCrop>
  <LinksUpToDate>false</LinksUpToDate>
  <CharactersWithSpaces>7197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2020-01-10T03:24:00Z</dcterms:created>
  <dc:creator>guest</dc:creator>
  <cp:lastModifiedBy>fanyibing</cp:lastModifiedBy>
  <cp:lastPrinted>2017-11-09T01:12:00Z</cp:lastPrinted>
  <dcterms:modified xsi:type="dcterms:W3CDTF">2024-01-19T07:09:30Z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0E8BA29887414418832C8EB4093CB0D9_12</vt:lpwstr>
  </property>
</Properties>
</file>