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2" w:line="185" w:lineRule="auto"/>
        <w:ind w:left="1200"/>
        <w:outlineLvl w:val="0"/>
        <w:rPr>
          <w:rFonts w:ascii="微软雅黑" w:hAnsi="微软雅黑" w:eastAsia="微软雅黑" w:cs="微软雅黑"/>
          <w:sz w:val="71"/>
          <w:szCs w:val="71"/>
        </w:rPr>
      </w:pPr>
      <w:r>
        <w:pict>
          <v:rect id="_x0000_s1026" o:spid="_x0000_s1026" o:spt="1" style="position:absolute;left:0pt;margin-left:493.8pt;margin-top:270.45pt;height:274.95pt;width:101.5pt;mso-position-horizontal-relative:page;mso-position-vertical-relative:page;z-index:251659264;mso-width-relative:page;mso-height-relative:page;" fillcolor="#376092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b/>
          <w:bCs/>
          <w:color w:val="002060"/>
          <w:spacing w:val="-22"/>
          <w:sz w:val="71"/>
          <w:szCs w:val="71"/>
        </w:rPr>
        <w:t>2</w:t>
      </w:r>
      <w:r>
        <w:rPr>
          <w:rFonts w:ascii="微软雅黑" w:hAnsi="微软雅黑" w:eastAsia="微软雅黑" w:cs="微软雅黑"/>
          <w:b/>
          <w:bCs/>
          <w:color w:val="002060"/>
          <w:spacing w:val="-48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2"/>
          <w:sz w:val="71"/>
          <w:szCs w:val="71"/>
        </w:rPr>
        <w:t>0</w:t>
      </w:r>
      <w:r>
        <w:rPr>
          <w:rFonts w:ascii="微软雅黑" w:hAnsi="微软雅黑" w:eastAsia="微软雅黑" w:cs="微软雅黑"/>
          <w:b/>
          <w:bCs/>
          <w:color w:val="002060"/>
          <w:spacing w:val="-37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2"/>
          <w:sz w:val="71"/>
          <w:szCs w:val="71"/>
        </w:rPr>
        <w:t>2 1</w:t>
      </w:r>
      <w:r>
        <w:rPr>
          <w:rFonts w:ascii="微软雅黑" w:hAnsi="微软雅黑" w:eastAsia="微软雅黑" w:cs="微软雅黑"/>
          <w:b/>
          <w:bCs/>
          <w:color w:val="002060"/>
          <w:spacing w:val="157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2"/>
          <w:sz w:val="71"/>
          <w:szCs w:val="71"/>
        </w:rPr>
        <w:t>年</w:t>
      </w:r>
      <w:r>
        <w:rPr>
          <w:rFonts w:ascii="微软雅黑" w:hAnsi="微软雅黑" w:eastAsia="微软雅黑" w:cs="微软雅黑"/>
          <w:b/>
          <w:bCs/>
          <w:color w:val="002060"/>
          <w:spacing w:val="-72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2"/>
          <w:sz w:val="71"/>
          <w:szCs w:val="71"/>
        </w:rPr>
        <w:t>度</w:t>
      </w:r>
    </w:p>
    <w:p>
      <w:pPr>
        <w:spacing w:before="394" w:line="224" w:lineRule="auto"/>
        <w:outlineLvl w:val="0"/>
        <w:rPr>
          <w:rFonts w:ascii="黑体" w:hAnsi="黑体" w:eastAsia="黑体" w:cs="黑体"/>
          <w:sz w:val="95"/>
          <w:szCs w:val="95"/>
        </w:rPr>
      </w:pPr>
      <w:r>
        <w:rPr>
          <w:rFonts w:ascii="黑体" w:hAnsi="黑体" w:eastAsia="黑体" w:cs="黑体"/>
          <w:color w:val="002060"/>
          <w:spacing w:val="57"/>
          <w:sz w:val="95"/>
          <w:szCs w:val="95"/>
          <w:u w:val="single" w:color="385D8A"/>
          <w14:textOutline w14:w="17434" w14:cap="sq" w14:cmpd="sng">
            <w14:solidFill>
              <w14:srgbClr w14:val="002060"/>
            </w14:solidFill>
            <w14:prstDash w14:val="solid"/>
            <w14:bevel/>
          </w14:textOutline>
        </w:rPr>
        <w:t>单位决算公开文本</w:t>
      </w:r>
      <w:r>
        <w:rPr>
          <w:rFonts w:ascii="黑体" w:hAnsi="黑体" w:eastAsia="黑体" w:cs="黑体"/>
          <w:color w:val="002060"/>
          <w:spacing w:val="3"/>
          <w:sz w:val="95"/>
          <w:szCs w:val="95"/>
          <w:u w:val="single" w:color="385D8A"/>
        </w:rPr>
        <w:t xml:space="preserve">  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30" w:line="227" w:lineRule="auto"/>
        <w:ind w:left="861"/>
        <w:rPr>
          <w:rFonts w:ascii="楷体" w:hAnsi="楷体" w:eastAsia="楷体" w:cs="楷体"/>
          <w:sz w:val="40"/>
          <w:szCs w:val="40"/>
        </w:rPr>
      </w:pPr>
      <w:r>
        <w:rPr>
          <w:rFonts w:ascii="黑体" w:hAnsi="黑体" w:eastAsia="黑体" w:cs="黑体"/>
          <w:spacing w:val="-2"/>
          <w:sz w:val="40"/>
          <w:szCs w:val="40"/>
        </w:rPr>
        <w:t>预算代码</w:t>
      </w:r>
      <w:r>
        <w:rPr>
          <w:rFonts w:ascii="楷体" w:hAnsi="楷体" w:eastAsia="楷体" w:cs="楷体"/>
          <w:spacing w:val="-2"/>
          <w:sz w:val="40"/>
          <w:szCs w:val="40"/>
        </w:rPr>
        <w:t>：485001</w:t>
      </w:r>
    </w:p>
    <w:p>
      <w:pPr>
        <w:spacing w:before="287" w:line="225" w:lineRule="auto"/>
        <w:ind w:left="865"/>
        <w:rPr>
          <w:rFonts w:ascii="楷体" w:hAnsi="楷体" w:eastAsia="楷体" w:cs="楷体"/>
          <w:sz w:val="40"/>
          <w:szCs w:val="40"/>
        </w:rPr>
      </w:pPr>
      <w:r>
        <w:rPr>
          <w:rFonts w:ascii="黑体" w:hAnsi="黑体" w:eastAsia="黑体" w:cs="黑体"/>
          <w:spacing w:val="-2"/>
          <w:sz w:val="40"/>
          <w:szCs w:val="40"/>
        </w:rPr>
        <w:t>单位名称</w:t>
      </w:r>
      <w:r>
        <w:rPr>
          <w:rFonts w:ascii="楷体" w:hAnsi="楷体" w:eastAsia="楷体" w:cs="楷体"/>
          <w:spacing w:val="-2"/>
          <w:sz w:val="40"/>
          <w:szCs w:val="40"/>
        </w:rPr>
        <w:t>：河北省社会主义学院</w:t>
      </w:r>
    </w:p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130" w:line="226" w:lineRule="auto"/>
        <w:ind w:left="3181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2"/>
          <w:sz w:val="40"/>
          <w:szCs w:val="40"/>
        </w:rPr>
        <w:t>二〇二二年八月</w:t>
      </w:r>
    </w:p>
    <w:p>
      <w:pPr>
        <w:spacing w:line="226" w:lineRule="auto"/>
        <w:rPr>
          <w:rFonts w:ascii="楷体" w:hAnsi="楷体" w:eastAsia="楷体" w:cs="楷体"/>
          <w:sz w:val="40"/>
          <w:szCs w:val="40"/>
        </w:rPr>
        <w:sectPr>
          <w:pgSz w:w="11906" w:h="16839"/>
          <w:pgMar w:top="1315" w:right="0" w:bottom="0" w:left="1296" w:header="0" w:footer="0" w:gutter="0"/>
          <w:cols w:space="720" w:num="1"/>
        </w:sectPr>
      </w:pPr>
    </w:p>
    <w:p>
      <w:pPr>
        <w:spacing w:before="137" w:line="225" w:lineRule="auto"/>
        <w:ind w:left="335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32"/>
          <w:sz w:val="43"/>
          <w:szCs w:val="43"/>
        </w:rPr>
        <w:t>目</w:t>
      </w:r>
      <w:r>
        <w:rPr>
          <w:rFonts w:ascii="黑体" w:hAnsi="黑体" w:eastAsia="黑体" w:cs="黑体"/>
          <w:spacing w:val="10"/>
          <w:sz w:val="43"/>
          <w:szCs w:val="43"/>
        </w:rPr>
        <w:t xml:space="preserve">    </w:t>
      </w:r>
      <w:r>
        <w:rPr>
          <w:rFonts w:ascii="黑体" w:hAnsi="黑体" w:eastAsia="黑体" w:cs="黑体"/>
          <w:spacing w:val="-32"/>
          <w:sz w:val="43"/>
          <w:szCs w:val="43"/>
        </w:rPr>
        <w:t>录</w: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101" w:line="739" w:lineRule="exact"/>
        <w:ind w:left="39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position w:val="32"/>
          <w:sz w:val="31"/>
          <w:szCs w:val="31"/>
        </w:rPr>
        <w:t>第一部分</w:t>
      </w:r>
      <w:r>
        <w:rPr>
          <w:rFonts w:ascii="黑体" w:hAnsi="黑体" w:eastAsia="黑体" w:cs="黑体"/>
          <w:spacing w:val="109"/>
          <w:position w:val="3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5"/>
          <w:position w:val="32"/>
          <w:sz w:val="31"/>
          <w:szCs w:val="31"/>
        </w:rPr>
        <w:t>单位概况</w:t>
      </w:r>
    </w:p>
    <w:p>
      <w:pPr>
        <w:spacing w:line="226" w:lineRule="auto"/>
        <w:ind w:left="10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一、单位职责</w:t>
      </w:r>
    </w:p>
    <w:p>
      <w:pPr>
        <w:pStyle w:val="2"/>
        <w:spacing w:line="256" w:lineRule="auto"/>
      </w:pPr>
    </w:p>
    <w:p>
      <w:pPr>
        <w:spacing w:before="101" w:line="228" w:lineRule="auto"/>
        <w:ind w:left="10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二、机构设置</w:t>
      </w:r>
    </w:p>
    <w:p>
      <w:pPr>
        <w:pStyle w:val="2"/>
        <w:spacing w:line="256" w:lineRule="auto"/>
      </w:pPr>
    </w:p>
    <w:p>
      <w:pPr>
        <w:spacing w:before="101" w:line="227" w:lineRule="auto"/>
        <w:ind w:left="39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第二部分</w:t>
      </w:r>
      <w:r>
        <w:rPr>
          <w:rFonts w:ascii="黑体" w:hAnsi="黑体" w:eastAsia="黑体" w:cs="黑体"/>
          <w:spacing w:val="9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2021 </w:t>
      </w:r>
      <w:r>
        <w:rPr>
          <w:rFonts w:ascii="黑体" w:hAnsi="黑体" w:eastAsia="黑体" w:cs="黑体"/>
          <w:spacing w:val="6"/>
          <w:sz w:val="31"/>
          <w:szCs w:val="31"/>
        </w:rPr>
        <w:t>年度单位决算报表</w:t>
      </w:r>
    </w:p>
    <w:p>
      <w:pPr>
        <w:pStyle w:val="2"/>
        <w:spacing w:line="255" w:lineRule="auto"/>
      </w:pPr>
    </w:p>
    <w:p>
      <w:pPr>
        <w:spacing w:before="101" w:line="740" w:lineRule="exact"/>
        <w:ind w:left="39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32"/>
          <w:sz w:val="31"/>
          <w:szCs w:val="31"/>
        </w:rPr>
        <w:t>第三部分</w:t>
      </w:r>
      <w:r>
        <w:rPr>
          <w:rFonts w:ascii="黑体" w:hAnsi="黑体" w:eastAsia="黑体" w:cs="黑体"/>
          <w:spacing w:val="98"/>
          <w:position w:val="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32"/>
          <w:sz w:val="31"/>
          <w:szCs w:val="31"/>
        </w:rPr>
        <w:t xml:space="preserve">2021 </w:t>
      </w:r>
      <w:r>
        <w:rPr>
          <w:rFonts w:ascii="黑体" w:hAnsi="黑体" w:eastAsia="黑体" w:cs="黑体"/>
          <w:spacing w:val="6"/>
          <w:position w:val="32"/>
          <w:sz w:val="31"/>
          <w:szCs w:val="31"/>
        </w:rPr>
        <w:t>年单位决算情况说明</w:t>
      </w:r>
    </w:p>
    <w:p>
      <w:pPr>
        <w:spacing w:line="227" w:lineRule="auto"/>
        <w:ind w:left="10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一、收入支出决算总体情况说明</w:t>
      </w:r>
    </w:p>
    <w:p>
      <w:pPr>
        <w:pStyle w:val="2"/>
        <w:spacing w:line="258" w:lineRule="auto"/>
      </w:pPr>
    </w:p>
    <w:p>
      <w:pPr>
        <w:spacing w:before="101" w:line="227" w:lineRule="auto"/>
        <w:ind w:left="10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二、收入决算情况说明</w:t>
      </w:r>
    </w:p>
    <w:p>
      <w:pPr>
        <w:pStyle w:val="2"/>
        <w:spacing w:line="255" w:lineRule="auto"/>
      </w:pPr>
    </w:p>
    <w:p>
      <w:pPr>
        <w:spacing w:before="101" w:line="227" w:lineRule="auto"/>
        <w:ind w:left="10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三、支出决算情况说明</w:t>
      </w:r>
    </w:p>
    <w:p>
      <w:pPr>
        <w:pStyle w:val="2"/>
        <w:spacing w:line="255" w:lineRule="auto"/>
      </w:pPr>
    </w:p>
    <w:p>
      <w:pPr>
        <w:spacing w:before="102" w:line="227" w:lineRule="auto"/>
        <w:ind w:left="10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四、财政拨款收入支出决算总体情况说明</w:t>
      </w:r>
    </w:p>
    <w:p>
      <w:pPr>
        <w:pStyle w:val="2"/>
        <w:spacing w:line="258" w:lineRule="auto"/>
      </w:pPr>
    </w:p>
    <w:p>
      <w:pPr>
        <w:spacing w:before="100" w:line="227" w:lineRule="auto"/>
        <w:ind w:left="10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五、一般公共预算“三公</w:t>
      </w:r>
      <w:r>
        <w:rPr>
          <w:rFonts w:ascii="仿宋" w:hAnsi="仿宋" w:eastAsia="仿宋" w:cs="仿宋"/>
          <w:spacing w:val="-10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经费支出决算情况说明</w:t>
      </w:r>
    </w:p>
    <w:p>
      <w:pPr>
        <w:pStyle w:val="2"/>
        <w:spacing w:line="255" w:lineRule="auto"/>
      </w:pPr>
    </w:p>
    <w:p>
      <w:pPr>
        <w:spacing w:before="102" w:line="739" w:lineRule="exact"/>
        <w:ind w:left="10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32"/>
          <w:sz w:val="31"/>
          <w:szCs w:val="31"/>
        </w:rPr>
        <w:t>六、预算绩效情况说明</w:t>
      </w:r>
    </w:p>
    <w:p>
      <w:pPr>
        <w:spacing w:line="226" w:lineRule="auto"/>
        <w:ind w:left="10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七、机关运行经费情况</w:t>
      </w:r>
    </w:p>
    <w:p>
      <w:pPr>
        <w:pStyle w:val="2"/>
        <w:spacing w:line="258" w:lineRule="auto"/>
      </w:pPr>
    </w:p>
    <w:p>
      <w:pPr>
        <w:spacing w:before="102" w:line="228" w:lineRule="auto"/>
        <w:ind w:left="10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八、政府采购情况</w:t>
      </w:r>
    </w:p>
    <w:p>
      <w:pPr>
        <w:pStyle w:val="2"/>
        <w:spacing w:line="254" w:lineRule="auto"/>
      </w:pPr>
    </w:p>
    <w:p>
      <w:pPr>
        <w:spacing w:before="101" w:line="228" w:lineRule="auto"/>
        <w:ind w:left="10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九、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国有资产占用情况</w:t>
      </w:r>
    </w:p>
    <w:p>
      <w:pPr>
        <w:pStyle w:val="2"/>
        <w:spacing w:line="254" w:lineRule="auto"/>
      </w:pPr>
    </w:p>
    <w:p>
      <w:pPr>
        <w:spacing w:before="101" w:line="742" w:lineRule="exact"/>
        <w:ind w:left="10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32"/>
          <w:sz w:val="31"/>
          <w:szCs w:val="31"/>
        </w:rPr>
        <w:t>十、其他需要说明的情况</w:t>
      </w:r>
    </w:p>
    <w:p>
      <w:pPr>
        <w:spacing w:line="227" w:lineRule="auto"/>
        <w:ind w:left="39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第四部分 名词解释</w:t>
      </w:r>
    </w:p>
    <w:p>
      <w:pPr>
        <w:spacing w:line="227" w:lineRule="auto"/>
        <w:rPr>
          <w:rFonts w:ascii="黑体" w:hAnsi="黑体" w:eastAsia="黑体" w:cs="黑体"/>
          <w:sz w:val="31"/>
          <w:szCs w:val="31"/>
        </w:rPr>
        <w:sectPr>
          <w:footerReference r:id="rId5" w:type="default"/>
          <w:pgSz w:w="11906" w:h="16839"/>
          <w:pgMar w:top="1431" w:right="1785" w:bottom="1188" w:left="1785" w:header="0" w:footer="1023" w:gutter="0"/>
          <w:cols w:space="720" w:num="1"/>
        </w:sectPr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line="1085" w:lineRule="exact"/>
        <w:ind w:firstLine="746"/>
      </w:pPr>
      <w:r>
        <w:rPr>
          <w:position w:val="-21"/>
        </w:rPr>
        <w:drawing>
          <wp:inline distT="0" distB="0" distL="0" distR="0">
            <wp:extent cx="739140" cy="6889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140" w:line="225" w:lineRule="auto"/>
        <w:ind w:left="2203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3"/>
          <w:sz w:val="43"/>
          <w:szCs w:val="43"/>
        </w:rPr>
        <w:t>第一部分</w:t>
      </w:r>
      <w:r>
        <w:rPr>
          <w:rFonts w:ascii="黑体" w:hAnsi="黑体" w:eastAsia="黑体" w:cs="黑体"/>
          <w:spacing w:val="23"/>
          <w:sz w:val="43"/>
          <w:szCs w:val="43"/>
        </w:rPr>
        <w:t xml:space="preserve">  </w:t>
      </w:r>
      <w:r>
        <w:rPr>
          <w:rFonts w:ascii="黑体" w:hAnsi="黑体" w:eastAsia="黑体" w:cs="黑体"/>
          <w:spacing w:val="3"/>
          <w:sz w:val="43"/>
          <w:szCs w:val="43"/>
        </w:rPr>
        <w:t>单位概况</w:t>
      </w:r>
    </w:p>
    <w:p>
      <w:pPr>
        <w:spacing w:line="225" w:lineRule="auto"/>
        <w:rPr>
          <w:rFonts w:ascii="黑体" w:hAnsi="黑体" w:eastAsia="黑体" w:cs="黑体"/>
          <w:sz w:val="43"/>
          <w:szCs w:val="43"/>
        </w:rPr>
        <w:sectPr>
          <w:footerReference r:id="rId6" w:type="default"/>
          <w:pgSz w:w="11906" w:h="16839"/>
          <w:pgMar w:top="1431" w:right="1785" w:bottom="1187" w:left="1785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26" w:lineRule="auto"/>
        <w:ind w:left="6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一、单位职责</w:t>
      </w:r>
    </w:p>
    <w:p>
      <w:pPr>
        <w:spacing w:before="195" w:line="346" w:lineRule="auto"/>
        <w:ind w:right="2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河北省社会主义学院（河北中华文化学院）</w:t>
      </w:r>
      <w:r>
        <w:rPr>
          <w:rFonts w:ascii="仿宋" w:hAnsi="仿宋" w:eastAsia="仿宋" w:cs="仿宋"/>
          <w:spacing w:val="16"/>
          <w:sz w:val="31"/>
          <w:szCs w:val="31"/>
        </w:rPr>
        <w:t>是省委领导的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统一战线性质的政治学院，是民主党派和无党派人士的联合党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校，是统一战线人才教育培养主阵地，是开展党的统一战线工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作的重要部门，是全省干部教育培训体系的重要组成部分。其</w:t>
      </w:r>
    </w:p>
    <w:p>
      <w:pPr>
        <w:spacing w:before="1" w:line="229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主要职责是:</w:t>
      </w:r>
    </w:p>
    <w:p>
      <w:pPr>
        <w:spacing w:before="195" w:line="345" w:lineRule="auto"/>
        <w:ind w:left="2" w:right="204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（一）培训民主党派和无党派人士、统一战线其他</w:t>
      </w:r>
      <w:r>
        <w:rPr>
          <w:rFonts w:ascii="仿宋" w:hAnsi="仿宋" w:eastAsia="仿宋" w:cs="仿宋"/>
          <w:spacing w:val="8"/>
          <w:sz w:val="31"/>
          <w:szCs w:val="31"/>
        </w:rPr>
        <w:t>领域代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表人士，培训统战干部，培养统一战线理论研究人才，承办党</w:t>
      </w:r>
    </w:p>
    <w:p>
      <w:pPr>
        <w:spacing w:before="1" w:line="227" w:lineRule="auto"/>
        <w:ind w:left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委和政府举办的有关专题研讨班。</w:t>
      </w:r>
    </w:p>
    <w:p>
      <w:pPr>
        <w:spacing w:before="198" w:line="345" w:lineRule="auto"/>
        <w:ind w:left="1" w:right="204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（二）组织开展马克思列宁主义、毛泽东思想、邓</w:t>
      </w:r>
      <w:r>
        <w:rPr>
          <w:rFonts w:ascii="仿宋" w:hAnsi="仿宋" w:eastAsia="仿宋" w:cs="仿宋"/>
          <w:spacing w:val="8"/>
          <w:sz w:val="31"/>
          <w:szCs w:val="31"/>
        </w:rPr>
        <w:t>小平理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论</w:t>
      </w:r>
      <w:r>
        <w:rPr>
          <w:rFonts w:ascii="仿宋" w:hAnsi="仿宋" w:eastAsia="仿宋" w:cs="仿宋"/>
          <w:color w:val="auto"/>
          <w:spacing w:val="7"/>
          <w:sz w:val="31"/>
          <w:szCs w:val="31"/>
        </w:rPr>
        <w:t>、</w:t>
      </w:r>
      <w:r>
        <w:rPr>
          <w:rFonts w:hint="eastAsia" w:ascii="仿宋" w:hAnsi="仿宋" w:eastAsia="仿宋" w:cs="仿宋"/>
          <w:color w:val="auto"/>
          <w:spacing w:val="7"/>
          <w:sz w:val="31"/>
          <w:szCs w:val="31"/>
          <w:lang w:eastAsia="zh-CN"/>
        </w:rPr>
        <w:t>“</w:t>
      </w:r>
      <w:r>
        <w:rPr>
          <w:rFonts w:ascii="仿宋" w:hAnsi="仿宋" w:eastAsia="仿宋" w:cs="仿宋"/>
          <w:color w:val="auto"/>
          <w:spacing w:val="7"/>
          <w:sz w:val="31"/>
          <w:szCs w:val="31"/>
        </w:rPr>
        <w:t>三个代表</w:t>
      </w:r>
      <w:r>
        <w:rPr>
          <w:rFonts w:hint="eastAsia" w:ascii="仿宋" w:hAnsi="仿宋" w:eastAsia="仿宋" w:cs="仿宋"/>
          <w:color w:val="auto"/>
          <w:spacing w:val="7"/>
          <w:sz w:val="31"/>
          <w:szCs w:val="31"/>
          <w:lang w:eastAsia="zh-CN"/>
        </w:rPr>
        <w:t>”</w:t>
      </w:r>
      <w:r>
        <w:rPr>
          <w:rFonts w:ascii="仿宋" w:hAnsi="仿宋" w:eastAsia="仿宋" w:cs="仿宋"/>
          <w:color w:val="auto"/>
          <w:spacing w:val="7"/>
          <w:sz w:val="31"/>
          <w:szCs w:val="31"/>
        </w:rPr>
        <w:t>重要思想、</w:t>
      </w:r>
      <w:r>
        <w:rPr>
          <w:rFonts w:ascii="仿宋" w:hAnsi="仿宋" w:eastAsia="仿宋" w:cs="仿宋"/>
          <w:spacing w:val="7"/>
          <w:sz w:val="31"/>
          <w:szCs w:val="31"/>
        </w:rPr>
        <w:t>科学发展观、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习近平</w:t>
      </w:r>
      <w:r>
        <w:rPr>
          <w:rFonts w:ascii="仿宋" w:hAnsi="仿宋" w:eastAsia="仿宋" w:cs="仿宋"/>
          <w:spacing w:val="6"/>
          <w:sz w:val="31"/>
          <w:szCs w:val="31"/>
        </w:rPr>
        <w:t>新时代中国特色</w:t>
      </w:r>
    </w:p>
    <w:p>
      <w:pPr>
        <w:spacing w:before="2"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社会主义思想以及党的统一战线理论和方针政策的研究与宣</w:t>
      </w:r>
    </w:p>
    <w:p>
      <w:pPr>
        <w:spacing w:before="198" w:line="228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传，推进理论创新。</w:t>
      </w:r>
    </w:p>
    <w:p>
      <w:pPr>
        <w:spacing w:before="196" w:line="580" w:lineRule="exact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19"/>
          <w:sz w:val="31"/>
          <w:szCs w:val="31"/>
        </w:rPr>
        <w:t>（三）组织开展决策咨询工作，为省委和省政府</w:t>
      </w:r>
      <w:r>
        <w:rPr>
          <w:rFonts w:ascii="仿宋" w:hAnsi="仿宋" w:eastAsia="仿宋" w:cs="仿宋"/>
          <w:spacing w:val="8"/>
          <w:position w:val="19"/>
          <w:sz w:val="31"/>
          <w:szCs w:val="31"/>
        </w:rPr>
        <w:t>决策服</w:t>
      </w:r>
    </w:p>
    <w:p>
      <w:pPr>
        <w:spacing w:before="1" w:line="228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务。</w:t>
      </w:r>
    </w:p>
    <w:p>
      <w:pPr>
        <w:spacing w:before="197" w:line="227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（四）组织开展中华文化的教育研究和对外交流。</w:t>
      </w:r>
    </w:p>
    <w:p>
      <w:pPr>
        <w:spacing w:before="198" w:line="226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（五）对市县社会主义学院进行业务指导。</w:t>
      </w:r>
    </w:p>
    <w:p>
      <w:pPr>
        <w:spacing w:before="201" w:line="226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（六）开展多种形式的联谊交友。</w:t>
      </w:r>
    </w:p>
    <w:p>
      <w:pPr>
        <w:spacing w:before="201" w:line="227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（七）完成省委交办的其他任务。</w:t>
      </w:r>
    </w:p>
    <w:p>
      <w:pPr>
        <w:spacing w:before="197" w:line="227" w:lineRule="auto"/>
        <w:ind w:left="6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二、机构设置</w:t>
      </w:r>
    </w:p>
    <w:p>
      <w:pPr>
        <w:spacing w:before="200" w:line="581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19"/>
          <w:sz w:val="31"/>
          <w:szCs w:val="31"/>
        </w:rPr>
        <w:t>从决算编报单位构成看，纳入</w:t>
      </w:r>
      <w:r>
        <w:rPr>
          <w:rFonts w:ascii="仿宋" w:hAnsi="仿宋" w:eastAsia="仿宋" w:cs="仿宋"/>
          <w:spacing w:val="-50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19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19"/>
          <w:sz w:val="31"/>
          <w:szCs w:val="31"/>
        </w:rPr>
        <w:t>年度本单位决算汇编范</w:t>
      </w:r>
    </w:p>
    <w:p>
      <w:pPr>
        <w:spacing w:line="226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围的独立核算单位（以下简称“单位</w:t>
      </w:r>
      <w:r>
        <w:rPr>
          <w:rFonts w:ascii="仿宋" w:hAnsi="仿宋" w:eastAsia="仿宋" w:cs="仿宋"/>
          <w:spacing w:val="-9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”）共</w:t>
      </w:r>
      <w:r>
        <w:rPr>
          <w:rFonts w:ascii="仿宋" w:hAnsi="仿宋" w:eastAsia="仿宋" w:cs="仿宋"/>
          <w:spacing w:val="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个（其中包含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footerReference r:id="rId7" w:type="default"/>
          <w:pgSz w:w="11906" w:h="16839"/>
          <w:pgMar w:top="1431" w:right="1531" w:bottom="1188" w:left="1552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26" w:lineRule="auto"/>
        <w:ind w:left="19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个非独立核算单位</w:t>
      </w:r>
      <w:r>
        <w:rPr>
          <w:rFonts w:ascii="仿宋" w:hAnsi="仿宋" w:eastAsia="仿宋" w:cs="仿宋"/>
          <w:spacing w:val="28"/>
          <w:sz w:val="31"/>
          <w:szCs w:val="31"/>
        </w:rPr>
        <w:t>），</w:t>
      </w:r>
      <w:r>
        <w:rPr>
          <w:rFonts w:ascii="仿宋" w:hAnsi="仿宋" w:eastAsia="仿宋" w:cs="仿宋"/>
          <w:spacing w:val="7"/>
          <w:sz w:val="31"/>
          <w:szCs w:val="31"/>
        </w:rPr>
        <w:t>报表类型为单户表，具体情况如下：</w:t>
      </w:r>
    </w:p>
    <w:p>
      <w:pPr>
        <w:spacing w:line="18" w:lineRule="exact"/>
      </w:pPr>
    </w:p>
    <w:tbl>
      <w:tblPr>
        <w:tblStyle w:val="5"/>
        <w:tblW w:w="91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1"/>
        <w:gridCol w:w="3483"/>
        <w:gridCol w:w="2245"/>
        <w:gridCol w:w="25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1" w:type="dxa"/>
            <w:vAlign w:val="top"/>
          </w:tcPr>
          <w:p>
            <w:pPr>
              <w:pStyle w:val="6"/>
              <w:spacing w:before="246" w:line="223" w:lineRule="auto"/>
              <w:ind w:left="170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245" w:line="222" w:lineRule="auto"/>
              <w:ind w:left="1198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单位名称</w:t>
            </w:r>
          </w:p>
        </w:tc>
        <w:tc>
          <w:tcPr>
            <w:tcW w:w="2245" w:type="dxa"/>
            <w:vAlign w:val="top"/>
          </w:tcPr>
          <w:p>
            <w:pPr>
              <w:pStyle w:val="6"/>
              <w:spacing w:before="245" w:line="221" w:lineRule="auto"/>
              <w:ind w:left="300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单位基本性质</w:t>
            </w:r>
          </w:p>
        </w:tc>
        <w:tc>
          <w:tcPr>
            <w:tcW w:w="2586" w:type="dxa"/>
            <w:vAlign w:val="top"/>
          </w:tcPr>
          <w:p>
            <w:pPr>
              <w:pStyle w:val="6"/>
              <w:spacing w:before="245" w:line="224" w:lineRule="auto"/>
              <w:ind w:left="74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经费形式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871" w:type="dxa"/>
            <w:vAlign w:val="top"/>
          </w:tcPr>
          <w:p>
            <w:pPr>
              <w:pStyle w:val="6"/>
              <w:spacing w:before="256" w:line="181" w:lineRule="auto"/>
              <w:ind w:left="3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50" w:line="224" w:lineRule="auto"/>
              <w:ind w:left="125" w:right="107" w:firstLine="1"/>
            </w:pPr>
            <w:r>
              <w:rPr>
                <w:spacing w:val="-16"/>
              </w:rPr>
              <w:t>河</w:t>
            </w:r>
            <w:r>
              <w:rPr>
                <w:spacing w:val="-64"/>
              </w:rPr>
              <w:t xml:space="preserve"> </w:t>
            </w:r>
            <w:r>
              <w:rPr>
                <w:spacing w:val="-16"/>
              </w:rPr>
              <w:t>北</w:t>
            </w:r>
            <w:r>
              <w:rPr>
                <w:spacing w:val="-71"/>
              </w:rPr>
              <w:t xml:space="preserve"> </w:t>
            </w:r>
            <w:r>
              <w:rPr>
                <w:spacing w:val="-16"/>
              </w:rPr>
              <w:t>省</w:t>
            </w:r>
            <w:r>
              <w:rPr>
                <w:spacing w:val="-70"/>
              </w:rPr>
              <w:t xml:space="preserve"> </w:t>
            </w:r>
            <w:r>
              <w:rPr>
                <w:spacing w:val="-16"/>
              </w:rPr>
              <w:t>社</w:t>
            </w:r>
            <w:r>
              <w:rPr>
                <w:spacing w:val="-65"/>
              </w:rPr>
              <w:t xml:space="preserve"> </w:t>
            </w:r>
            <w:r>
              <w:rPr>
                <w:spacing w:val="-16"/>
              </w:rPr>
              <w:t>会</w:t>
            </w:r>
            <w:r>
              <w:rPr>
                <w:spacing w:val="-64"/>
              </w:rPr>
              <w:t xml:space="preserve"> </w:t>
            </w:r>
            <w:r>
              <w:rPr>
                <w:spacing w:val="-16"/>
              </w:rPr>
              <w:t>主义</w:t>
            </w:r>
            <w:r>
              <w:rPr>
                <w:spacing w:val="-61"/>
              </w:rPr>
              <w:t xml:space="preserve"> </w:t>
            </w:r>
            <w:r>
              <w:rPr>
                <w:spacing w:val="-16"/>
              </w:rPr>
              <w:t>学</w:t>
            </w:r>
            <w:r>
              <w:rPr>
                <w:spacing w:val="-58"/>
              </w:rPr>
              <w:t xml:space="preserve"> </w:t>
            </w:r>
            <w:r>
              <w:rPr>
                <w:spacing w:val="-16"/>
              </w:rPr>
              <w:t>院</w:t>
            </w:r>
            <w:r>
              <w:rPr>
                <w:spacing w:val="-38"/>
              </w:rPr>
              <w:t xml:space="preserve"> </w:t>
            </w:r>
            <w:r>
              <w:rPr>
                <w:spacing w:val="-16"/>
              </w:rPr>
              <w:t>(</w:t>
            </w:r>
            <w:r>
              <w:rPr>
                <w:spacing w:val="-69"/>
              </w:rPr>
              <w:t xml:space="preserve"> </w:t>
            </w:r>
            <w:r>
              <w:rPr>
                <w:spacing w:val="-16"/>
              </w:rPr>
              <w:t>行</w:t>
            </w:r>
            <w:r>
              <w:rPr>
                <w:spacing w:val="-70"/>
              </w:rPr>
              <w:t xml:space="preserve"> </w:t>
            </w:r>
            <w:r>
              <w:rPr>
                <w:spacing w:val="-16"/>
              </w:rPr>
              <w:t>政)</w:t>
            </w:r>
            <w:r>
              <w:t xml:space="preserve"> </w:t>
            </w:r>
            <w:r>
              <w:rPr>
                <w:spacing w:val="-6"/>
              </w:rPr>
              <w:t>（本级）</w:t>
            </w:r>
          </w:p>
        </w:tc>
        <w:tc>
          <w:tcPr>
            <w:tcW w:w="2245" w:type="dxa"/>
            <w:vMerge w:val="restart"/>
            <w:tcBorders>
              <w:bottom w:val="nil"/>
            </w:tcBorders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421"/>
            </w:pPr>
            <w:r>
              <w:rPr>
                <w:spacing w:val="-4"/>
              </w:rPr>
              <w:t>参公事业单位</w:t>
            </w:r>
          </w:p>
        </w:tc>
        <w:tc>
          <w:tcPr>
            <w:tcW w:w="2586" w:type="dxa"/>
            <w:vAlign w:val="top"/>
          </w:tcPr>
          <w:p>
            <w:pPr>
              <w:pStyle w:val="6"/>
              <w:spacing w:before="212" w:line="220" w:lineRule="auto"/>
              <w:ind w:left="229"/>
            </w:pPr>
            <w:r>
              <w:rPr>
                <w:spacing w:val="-3"/>
              </w:rPr>
              <w:t>财政性资金基本保证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871" w:type="dxa"/>
            <w:vAlign w:val="top"/>
          </w:tcPr>
          <w:p>
            <w:pPr>
              <w:pStyle w:val="6"/>
              <w:spacing w:before="259" w:line="181" w:lineRule="auto"/>
              <w:ind w:left="3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193" w:line="222" w:lineRule="auto"/>
              <w:ind w:left="126"/>
            </w:pPr>
            <w:r>
              <w:rPr>
                <w:spacing w:val="-2"/>
              </w:rPr>
              <w:t>河北省社会主义学院(事业)</w:t>
            </w:r>
          </w:p>
        </w:tc>
        <w:tc>
          <w:tcPr>
            <w:tcW w:w="224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6" w:type="dxa"/>
            <w:vAlign w:val="top"/>
          </w:tcPr>
          <w:p>
            <w:pPr>
              <w:pStyle w:val="6"/>
              <w:spacing w:before="193" w:line="220" w:lineRule="auto"/>
              <w:ind w:left="229"/>
            </w:pPr>
            <w:r>
              <w:rPr>
                <w:spacing w:val="-3"/>
              </w:rPr>
              <w:t>财政性资金基本保证</w:t>
            </w:r>
          </w:p>
        </w:tc>
      </w:tr>
    </w:tbl>
    <w:p>
      <w:pPr>
        <w:spacing w:before="208" w:line="559" w:lineRule="exact"/>
        <w:ind w:left="1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1"/>
          <w:sz w:val="28"/>
          <w:szCs w:val="28"/>
        </w:rPr>
        <w:t>注：1、单位基本性质分为行政单位、参公事业单位、财政补助事业单</w:t>
      </w:r>
    </w:p>
    <w:p>
      <w:pPr>
        <w:spacing w:line="221" w:lineRule="auto"/>
        <w:ind w:left="1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位、经费自理事业单位四类。</w:t>
      </w:r>
    </w:p>
    <w:p>
      <w:pPr>
        <w:spacing w:before="223" w:line="562" w:lineRule="exact"/>
        <w:ind w:left="68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1"/>
          <w:sz w:val="28"/>
          <w:szCs w:val="28"/>
        </w:rPr>
        <w:t>2、经费形式分为财政拨款、财政性资金基本保证、财政性资金定额</w:t>
      </w:r>
    </w:p>
    <w:p>
      <w:pPr>
        <w:spacing w:before="1" w:line="220" w:lineRule="auto"/>
        <w:ind w:left="1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或定项补助、财政性资金零补助四类。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8" w:type="default"/>
          <w:pgSz w:w="11906" w:h="16839"/>
          <w:pgMar w:top="1431" w:right="1358" w:bottom="1188" w:left="1357" w:header="0" w:footer="1023" w:gutter="0"/>
          <w:cols w:space="720" w:num="1"/>
        </w:sectPr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line="912" w:lineRule="exact"/>
        <w:ind w:firstLine="501"/>
      </w:pPr>
      <w:r>
        <w:rPr>
          <w:position w:val="-18"/>
        </w:rPr>
        <w:drawing>
          <wp:inline distT="0" distB="0" distL="0" distR="0">
            <wp:extent cx="478155" cy="5784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8403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140" w:line="225" w:lineRule="auto"/>
        <w:ind w:left="861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6"/>
          <w:sz w:val="43"/>
          <w:szCs w:val="43"/>
        </w:rPr>
        <w:t>第二部分  2021</w:t>
      </w:r>
      <w:r>
        <w:rPr>
          <w:rFonts w:ascii="黑体" w:hAnsi="黑体" w:eastAsia="黑体" w:cs="黑体"/>
          <w:spacing w:val="-85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6"/>
          <w:sz w:val="43"/>
          <w:szCs w:val="43"/>
        </w:rPr>
        <w:t>年度单位决算表</w:t>
      </w:r>
    </w:p>
    <w:p>
      <w:pPr>
        <w:spacing w:line="225" w:lineRule="auto"/>
        <w:rPr>
          <w:rFonts w:ascii="黑体" w:hAnsi="黑体" w:eastAsia="黑体" w:cs="黑体"/>
          <w:sz w:val="43"/>
          <w:szCs w:val="43"/>
        </w:rPr>
        <w:sectPr>
          <w:footerReference r:id="rId9" w:type="default"/>
          <w:pgSz w:w="11906" w:h="16839"/>
          <w:pgMar w:top="1431" w:right="1785" w:bottom="1187" w:left="1785" w:header="0" w:footer="1023" w:gutter="0"/>
          <w:cols w:space="720" w:num="1"/>
        </w:sectPr>
      </w:pPr>
    </w:p>
    <w:p>
      <w:pPr>
        <w:spacing w:line="13003" w:lineRule="exact"/>
      </w:pPr>
      <w:r>
        <w:rPr>
          <w:position w:val="-260"/>
        </w:rPr>
        <w:drawing>
          <wp:inline distT="0" distB="0" distL="0" distR="0">
            <wp:extent cx="5612765" cy="82569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82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003" w:lineRule="exact"/>
        <w:sectPr>
          <w:footerReference r:id="rId10" w:type="default"/>
          <w:pgSz w:w="11906" w:h="16839"/>
          <w:pgMar w:top="1183" w:right="1535" w:bottom="1186" w:left="1531" w:header="0" w:footer="1023" w:gutter="0"/>
          <w:cols w:space="720" w:num="1"/>
        </w:sectPr>
      </w:pPr>
    </w:p>
    <w:p>
      <w:pPr>
        <w:spacing w:line="10063" w:lineRule="exact"/>
      </w:pPr>
      <w:r>
        <w:rPr>
          <w:position w:val="-201"/>
        </w:rPr>
        <w:drawing>
          <wp:inline distT="0" distB="0" distL="0" distR="0">
            <wp:extent cx="5612765" cy="63900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63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3" w:lineRule="exact"/>
        <w:sectPr>
          <w:footerReference r:id="rId11" w:type="default"/>
          <w:pgSz w:w="11906" w:h="16839"/>
          <w:pgMar w:top="1243" w:right="1535" w:bottom="1188" w:left="1531" w:header="0" w:footer="1023" w:gutter="0"/>
          <w:cols w:space="720" w:num="1"/>
        </w:sectPr>
      </w:pPr>
    </w:p>
    <w:p>
      <w:pPr>
        <w:spacing w:line="10560" w:lineRule="exact"/>
      </w:pPr>
      <w:r>
        <w:rPr>
          <w:position w:val="-211"/>
        </w:rPr>
        <w:drawing>
          <wp:inline distT="0" distB="0" distL="0" distR="0">
            <wp:extent cx="5615940" cy="67056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60" w:lineRule="exact"/>
        <w:sectPr>
          <w:footerReference r:id="rId12" w:type="default"/>
          <w:pgSz w:w="11906" w:h="16839"/>
          <w:pgMar w:top="1159" w:right="1530" w:bottom="1186" w:left="1531" w:header="0" w:footer="1023" w:gutter="0"/>
          <w:cols w:space="720" w:num="1"/>
        </w:sectPr>
      </w:pPr>
    </w:p>
    <w:p>
      <w:pPr>
        <w:spacing w:line="13449" w:lineRule="exact"/>
      </w:pPr>
      <w:r>
        <w:rPr>
          <w:position w:val="-268"/>
        </w:rPr>
        <w:drawing>
          <wp:inline distT="0" distB="0" distL="0" distR="0">
            <wp:extent cx="5612765" cy="85401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9" w:lineRule="exact"/>
        <w:sectPr>
          <w:footerReference r:id="rId13" w:type="default"/>
          <w:pgSz w:w="11906" w:h="16839"/>
          <w:pgMar w:top="1267" w:right="1535" w:bottom="1188" w:left="1531" w:header="0" w:footer="1023" w:gutter="0"/>
          <w:cols w:space="720" w:num="1"/>
        </w:sectPr>
      </w:pPr>
    </w:p>
    <w:p>
      <w:pPr>
        <w:spacing w:line="11424" w:lineRule="exact"/>
      </w:pPr>
      <w:r>
        <w:rPr>
          <w:position w:val="-228"/>
        </w:rPr>
        <w:drawing>
          <wp:inline distT="0" distB="0" distL="0" distR="0">
            <wp:extent cx="5610860" cy="72542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24" w:lineRule="exact"/>
        <w:sectPr>
          <w:footerReference r:id="rId14" w:type="default"/>
          <w:pgSz w:w="11906" w:h="16839"/>
          <w:pgMar w:top="1183" w:right="1537" w:bottom="1188" w:left="1531" w:header="0" w:footer="1023" w:gutter="0"/>
          <w:cols w:space="720" w:num="1"/>
        </w:sectPr>
      </w:pPr>
    </w:p>
    <w:p>
      <w:pPr>
        <w:spacing w:line="13190" w:lineRule="exact"/>
      </w:pPr>
      <w:r>
        <w:rPr>
          <w:position w:val="-263"/>
        </w:rPr>
        <w:drawing>
          <wp:inline distT="0" distB="0" distL="0" distR="0">
            <wp:extent cx="5615940" cy="83756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190" w:lineRule="exact"/>
        <w:sectPr>
          <w:footerReference r:id="rId15" w:type="default"/>
          <w:pgSz w:w="11906" w:h="16839"/>
          <w:pgMar w:top="1243" w:right="1530" w:bottom="1188" w:left="1531" w:header="0" w:footer="1023" w:gutter="0"/>
          <w:cols w:space="720" w:num="1"/>
        </w:sectPr>
      </w:pPr>
    </w:p>
    <w:p>
      <w:pPr>
        <w:spacing w:line="7907" w:lineRule="exact"/>
      </w:pPr>
      <w:r>
        <w:rPr>
          <w:position w:val="-158"/>
        </w:rPr>
        <w:drawing>
          <wp:inline distT="0" distB="0" distL="0" distR="0">
            <wp:extent cx="5612765" cy="50209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50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907" w:lineRule="exact"/>
        <w:sectPr>
          <w:footerReference r:id="rId16" w:type="default"/>
          <w:pgSz w:w="11906" w:h="16839"/>
          <w:pgMar w:top="1231" w:right="1535" w:bottom="1187" w:left="1531" w:header="0" w:footer="1023" w:gutter="0"/>
          <w:cols w:space="720" w:num="1"/>
        </w:sectPr>
      </w:pPr>
    </w:p>
    <w:p>
      <w:pPr>
        <w:spacing w:line="5735" w:lineRule="exact"/>
      </w:pPr>
      <w:r>
        <w:rPr>
          <w:position w:val="-114"/>
        </w:rPr>
        <w:drawing>
          <wp:inline distT="0" distB="0" distL="0" distR="0">
            <wp:extent cx="5609590" cy="36417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36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35" w:lineRule="exact"/>
        <w:sectPr>
          <w:footerReference r:id="rId17" w:type="default"/>
          <w:pgSz w:w="11906" w:h="16839"/>
          <w:pgMar w:top="1231" w:right="1540" w:bottom="1188" w:left="1531" w:header="0" w:footer="1023" w:gutter="0"/>
          <w:cols w:space="720" w:num="1"/>
        </w:sectPr>
      </w:pPr>
    </w:p>
    <w:p>
      <w:pPr>
        <w:spacing w:line="5176" w:lineRule="exact"/>
      </w:pPr>
      <w:r>
        <w:rPr>
          <w:position w:val="-103"/>
        </w:rPr>
        <w:drawing>
          <wp:inline distT="0" distB="0" distL="0" distR="0">
            <wp:extent cx="5609590" cy="328676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76" w:lineRule="exact"/>
        <w:sectPr>
          <w:footerReference r:id="rId18" w:type="default"/>
          <w:pgSz w:w="11906" w:h="16839"/>
          <w:pgMar w:top="1195" w:right="1540" w:bottom="1188" w:left="1531" w:header="0" w:footer="1023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line="960" w:lineRule="exact"/>
        <w:ind w:firstLine="220"/>
      </w:pPr>
      <w:r>
        <w:rPr>
          <w:position w:val="-19"/>
        </w:rPr>
        <w:drawing>
          <wp:inline distT="0" distB="0" distL="0" distR="0">
            <wp:extent cx="659765" cy="6096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9891" cy="6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7" w:lineRule="auto"/>
      </w:pPr>
    </w:p>
    <w:p>
      <w:pPr>
        <w:spacing w:before="140" w:line="225" w:lineRule="auto"/>
        <w:ind w:right="42"/>
        <w:jc w:val="right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6"/>
          <w:sz w:val="43"/>
          <w:szCs w:val="43"/>
        </w:rPr>
        <w:t>第三部分 2021</w:t>
      </w:r>
      <w:r>
        <w:rPr>
          <w:rFonts w:ascii="黑体" w:hAnsi="黑体" w:eastAsia="黑体" w:cs="黑体"/>
          <w:spacing w:val="-72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6"/>
          <w:sz w:val="43"/>
          <w:szCs w:val="43"/>
        </w:rPr>
        <w:t>年度单位决算情况说明</w:t>
      </w:r>
    </w:p>
    <w:p>
      <w:pPr>
        <w:spacing w:line="225" w:lineRule="auto"/>
        <w:rPr>
          <w:rFonts w:ascii="黑体" w:hAnsi="黑体" w:eastAsia="黑体" w:cs="黑体"/>
          <w:sz w:val="43"/>
          <w:szCs w:val="43"/>
        </w:rPr>
        <w:sectPr>
          <w:footerReference r:id="rId19" w:type="default"/>
          <w:pgSz w:w="11906" w:h="16839"/>
          <w:pgMar w:top="1431" w:right="1785" w:bottom="1187" w:left="1785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26" w:lineRule="auto"/>
        <w:ind w:left="6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一、收入支出决算总体情况说明</w:t>
      </w:r>
    </w:p>
    <w:p>
      <w:pPr>
        <w:spacing w:before="216" w:line="357" w:lineRule="auto"/>
        <w:ind w:left="5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本单位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年度收、支总计（含结转和结余）2395.82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元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与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2020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年度决算相比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收支各增加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332.26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，增长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16.10%，主要原因是主要是基本建设项目和主体</w:t>
      </w:r>
      <w:r>
        <w:rPr>
          <w:rFonts w:ascii="仿宋" w:hAnsi="仿宋" w:eastAsia="仿宋" w:cs="仿宋"/>
          <w:spacing w:val="14"/>
          <w:sz w:val="31"/>
          <w:szCs w:val="31"/>
        </w:rPr>
        <w:t>班培训经费收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支较上年收支增加较多。如图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所示：</w:t>
      </w:r>
    </w:p>
    <w:p>
      <w:pPr>
        <w:spacing w:before="53" w:line="2720" w:lineRule="exact"/>
        <w:ind w:firstLine="2265"/>
      </w:pPr>
      <w:r>
        <w:rPr>
          <w:position w:val="-54"/>
        </w:rPr>
        <w:drawing>
          <wp:inline distT="0" distB="0" distL="0" distR="0">
            <wp:extent cx="2972435" cy="17272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1" w:lineRule="auto"/>
      </w:pPr>
    </w:p>
    <w:p>
      <w:pPr>
        <w:spacing w:before="78" w:line="515" w:lineRule="exact"/>
        <w:ind w:left="2458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4"/>
          <w:position w:val="20"/>
          <w:sz w:val="24"/>
          <w:szCs w:val="24"/>
        </w:rPr>
        <w:t>图</w:t>
      </w:r>
      <w:r>
        <w:rPr>
          <w:rFonts w:ascii="楷体" w:hAnsi="楷体" w:eastAsia="楷体" w:cs="楷体"/>
          <w:spacing w:val="-26"/>
          <w:position w:val="20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4"/>
          <w:position w:val="20"/>
          <w:sz w:val="24"/>
          <w:szCs w:val="24"/>
        </w:rPr>
        <w:t>1：2020-2021</w:t>
      </w:r>
      <w:r>
        <w:rPr>
          <w:rFonts w:ascii="楷体" w:hAnsi="楷体" w:eastAsia="楷体" w:cs="楷体"/>
          <w:spacing w:val="-50"/>
          <w:position w:val="20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4"/>
          <w:position w:val="20"/>
          <w:sz w:val="24"/>
          <w:szCs w:val="24"/>
        </w:rPr>
        <w:t>年收支总计对比情况</w:t>
      </w:r>
    </w:p>
    <w:p>
      <w:pPr>
        <w:spacing w:before="1" w:line="226" w:lineRule="auto"/>
        <w:ind w:left="6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二、收入决算情况说明</w:t>
      </w:r>
    </w:p>
    <w:p>
      <w:pPr>
        <w:spacing w:before="220" w:line="357" w:lineRule="auto"/>
        <w:ind w:left="16" w:firstLine="62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本单位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2021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年度收入合计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2274.4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万元，其中：财政拨款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收入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2200.84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占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96.77%；事业收入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占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0%；经营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收入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占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0%；其他收入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73.56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万元（其中包含单位自有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资金结余调整为本年收入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29.45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</w:t>
      </w:r>
      <w:r>
        <w:rPr>
          <w:rFonts w:ascii="仿宋" w:hAnsi="仿宋" w:eastAsia="仿宋" w:cs="仿宋"/>
          <w:spacing w:val="-21"/>
          <w:sz w:val="31"/>
          <w:szCs w:val="31"/>
        </w:rPr>
        <w:t>）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1"/>
          <w:sz w:val="31"/>
          <w:szCs w:val="31"/>
        </w:rPr>
        <w:t>，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占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3.23%。如图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所</w:t>
      </w:r>
    </w:p>
    <w:p>
      <w:pPr>
        <w:spacing w:before="1" w:line="230" w:lineRule="auto"/>
        <w:ind w:left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示：</w:t>
      </w:r>
    </w:p>
    <w:p>
      <w:pPr>
        <w:spacing w:line="230" w:lineRule="auto"/>
        <w:rPr>
          <w:rFonts w:ascii="仿宋" w:hAnsi="仿宋" w:eastAsia="仿宋" w:cs="仿宋"/>
          <w:sz w:val="31"/>
          <w:szCs w:val="31"/>
        </w:rPr>
        <w:sectPr>
          <w:footerReference r:id="rId20" w:type="default"/>
          <w:pgSz w:w="11906" w:h="16839"/>
          <w:pgMar w:top="1431" w:right="1530" w:bottom="1187" w:left="1552" w:header="0" w:footer="1023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line="4188" w:lineRule="exact"/>
        <w:ind w:firstLine="1468"/>
      </w:pPr>
      <w:r>
        <w:rPr>
          <w:position w:val="-83"/>
        </w:rPr>
        <w:drawing>
          <wp:inline distT="0" distB="0" distL="0" distR="0">
            <wp:extent cx="3717925" cy="26593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18559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227" w:lineRule="auto"/>
        <w:ind w:left="3157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5"/>
          <w:sz w:val="24"/>
          <w:szCs w:val="24"/>
        </w:rPr>
        <w:t>图</w:t>
      </w:r>
      <w:r>
        <w:rPr>
          <w:rFonts w:ascii="楷体" w:hAnsi="楷体" w:eastAsia="楷体" w:cs="楷体"/>
          <w:spacing w:val="-45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5"/>
          <w:sz w:val="24"/>
          <w:szCs w:val="24"/>
        </w:rPr>
        <w:t>2：收入决算构成情况</w:t>
      </w:r>
    </w:p>
    <w:p>
      <w:pPr>
        <w:spacing w:before="334" w:line="226" w:lineRule="auto"/>
        <w:ind w:left="64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三、支出决算情况说明</w:t>
      </w:r>
    </w:p>
    <w:p>
      <w:pPr>
        <w:spacing w:before="198" w:line="346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本单位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年度支出合计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2033.98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  <w:r>
        <w:rPr>
          <w:rFonts w:ascii="仿宋" w:hAnsi="仿宋" w:eastAsia="仿宋" w:cs="仿宋"/>
          <w:spacing w:val="5"/>
          <w:sz w:val="31"/>
          <w:szCs w:val="31"/>
        </w:rPr>
        <w:t>元，其中：基本支出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902.58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44.38%；项目支出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1131.</w:t>
      </w:r>
      <w:r>
        <w:rPr>
          <w:rFonts w:ascii="仿宋" w:hAnsi="仿宋" w:eastAsia="仿宋" w:cs="仿宋"/>
          <w:sz w:val="31"/>
          <w:szCs w:val="31"/>
        </w:rPr>
        <w:t>4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占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55.62%；</w:t>
      </w:r>
    </w:p>
    <w:p>
      <w:pPr>
        <w:spacing w:before="1" w:line="227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经营支出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占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0%。如图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3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所示：</w:t>
      </w:r>
    </w:p>
    <w:p>
      <w:pPr>
        <w:spacing w:before="71" w:line="3286" w:lineRule="exact"/>
        <w:ind w:firstLine="2272"/>
      </w:pPr>
      <w:r>
        <w:rPr>
          <w:position w:val="-65"/>
        </w:rPr>
        <w:drawing>
          <wp:inline distT="0" distB="0" distL="0" distR="0">
            <wp:extent cx="2964815" cy="208597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0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2" w:line="221" w:lineRule="auto"/>
        <w:ind w:left="225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图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3：支出决算构成情况（按支出性质）</w:t>
      </w:r>
    </w:p>
    <w:p>
      <w:pPr>
        <w:spacing w:before="307" w:line="226" w:lineRule="auto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四、财政拨款收入支出决算总体情况说明</w:t>
      </w:r>
    </w:p>
    <w:p>
      <w:pPr>
        <w:spacing w:before="200" w:line="231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（一）财政拨款收支与</w:t>
      </w:r>
      <w:r>
        <w:rPr>
          <w:rFonts w:ascii="楷体" w:hAnsi="楷体" w:eastAsia="楷体" w:cs="楷体"/>
          <w:spacing w:val="-6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2020</w:t>
      </w:r>
      <w:r>
        <w:rPr>
          <w:rFonts w:ascii="楷体" w:hAnsi="楷体" w:eastAsia="楷体" w:cs="楷体"/>
          <w:spacing w:val="-6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年度决算对比情况</w:t>
      </w:r>
    </w:p>
    <w:p>
      <w:pPr>
        <w:spacing w:line="231" w:lineRule="auto"/>
        <w:rPr>
          <w:rFonts w:ascii="楷体" w:hAnsi="楷体" w:eastAsia="楷体" w:cs="楷体"/>
          <w:sz w:val="31"/>
          <w:szCs w:val="31"/>
        </w:rPr>
        <w:sectPr>
          <w:footerReference r:id="rId21" w:type="default"/>
          <w:pgSz w:w="11906" w:h="16839"/>
          <w:pgMar w:top="1431" w:right="1530" w:bottom="1188" w:left="1543" w:header="0" w:footer="1023" w:gutter="0"/>
          <w:cols w:space="720" w:num="1"/>
        </w:sectPr>
      </w:pPr>
    </w:p>
    <w:p>
      <w:pPr>
        <w:pStyle w:val="2"/>
        <w:spacing w:line="349" w:lineRule="auto"/>
      </w:pPr>
    </w:p>
    <w:p>
      <w:pPr>
        <w:pStyle w:val="2"/>
        <w:spacing w:line="349" w:lineRule="auto"/>
      </w:pPr>
    </w:p>
    <w:p>
      <w:pPr>
        <w:spacing w:before="101" w:line="345" w:lineRule="auto"/>
        <w:ind w:left="9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本单位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年度财政拨款本年收入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2200.84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万元,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比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年度增加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377.77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万元，增长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22.72%，主要是基本建设项目和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主体班培训经费收入较上年收入增加较多；本年支出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1</w:t>
      </w:r>
      <w:r>
        <w:rPr>
          <w:rFonts w:ascii="仿宋" w:hAnsi="仿宋" w:eastAsia="仿宋" w:cs="仿宋"/>
          <w:spacing w:val="15"/>
          <w:sz w:val="31"/>
          <w:szCs w:val="31"/>
        </w:rPr>
        <w:t>960.62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万元，增加</w:t>
      </w:r>
      <w:r>
        <w:rPr>
          <w:rFonts w:ascii="仿宋" w:hAnsi="仿宋" w:eastAsia="仿宋" w:cs="仿宋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121.82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万元，增长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6.68%，主要是基本建设项目和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主体班培训经费支出较上年增加较多（如图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所示）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。具体情</w:t>
      </w:r>
    </w:p>
    <w:p>
      <w:pPr>
        <w:spacing w:before="1" w:line="227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况如下：</w:t>
      </w:r>
    </w:p>
    <w:p>
      <w:pPr>
        <w:spacing w:before="199" w:line="345" w:lineRule="auto"/>
        <w:ind w:left="7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1.一般公共预算财政拨款本年收入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2200.84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比上年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增加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377.77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万元，增长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22.72%，主要是基本建设项目和主体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班培训经费收入较上年增加较多；本年支出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1960</w:t>
      </w:r>
      <w:r>
        <w:rPr>
          <w:rFonts w:ascii="仿宋" w:hAnsi="仿宋" w:eastAsia="仿宋" w:cs="仿宋"/>
          <w:spacing w:val="9"/>
          <w:sz w:val="31"/>
          <w:szCs w:val="31"/>
        </w:rPr>
        <w:t>.62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上年增加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121.82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万元，增长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6.68%，主</w:t>
      </w:r>
      <w:r>
        <w:rPr>
          <w:rFonts w:ascii="仿宋" w:hAnsi="仿宋" w:eastAsia="仿宋" w:cs="仿宋"/>
          <w:spacing w:val="8"/>
          <w:sz w:val="31"/>
          <w:szCs w:val="31"/>
        </w:rPr>
        <w:t>要是主要是基本建设项</w:t>
      </w:r>
    </w:p>
    <w:p>
      <w:pPr>
        <w:spacing w:line="227" w:lineRule="auto"/>
        <w:ind w:left="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目和主体班培训经费收入较上年增加较多。</w:t>
      </w:r>
    </w:p>
    <w:p>
      <w:pPr>
        <w:spacing w:before="196" w:line="346" w:lineRule="auto"/>
        <w:ind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2.政府性基金预算财政拨款本年收入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比上年增加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万元，增长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0%，与上年持平，主要原因是我部门无政府性基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金预算财政拨款收入；本年支出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比上年增加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增长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0%，与上年持平，主要是我部门无政府性基</w:t>
      </w:r>
      <w:r>
        <w:rPr>
          <w:rFonts w:ascii="仿宋" w:hAnsi="仿宋" w:eastAsia="仿宋" w:cs="仿宋"/>
          <w:spacing w:val="12"/>
          <w:sz w:val="31"/>
          <w:szCs w:val="31"/>
        </w:rPr>
        <w:t>金预算财政拨</w:t>
      </w:r>
    </w:p>
    <w:p>
      <w:pPr>
        <w:spacing w:line="228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款支出。</w:t>
      </w:r>
    </w:p>
    <w:p>
      <w:pPr>
        <w:spacing w:before="192" w:line="346" w:lineRule="auto"/>
        <w:ind w:left="6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3.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国有资本经营预算财政拨款本年收入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比上年增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加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万元，增长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0%，与上年持平，主要原因</w:t>
      </w:r>
      <w:r>
        <w:rPr>
          <w:rFonts w:ascii="仿宋" w:hAnsi="仿宋" w:eastAsia="仿宋" w:cs="仿宋"/>
          <w:spacing w:val="10"/>
          <w:sz w:val="31"/>
          <w:szCs w:val="31"/>
        </w:rPr>
        <w:t>是我单位无国有资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本经营预算财政拨款收入；本年支出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比上年增加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元，增长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0%，与上年持平，主要是我单位无国有资本经营预算</w:t>
      </w:r>
    </w:p>
    <w:p>
      <w:pPr>
        <w:spacing w:before="1" w:line="228" w:lineRule="auto"/>
        <w:ind w:left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财政拨款支出。</w:t>
      </w:r>
    </w:p>
    <w:p>
      <w:pPr>
        <w:spacing w:line="228" w:lineRule="auto"/>
        <w:rPr>
          <w:rFonts w:ascii="仿宋" w:hAnsi="仿宋" w:eastAsia="仿宋" w:cs="仿宋"/>
          <w:sz w:val="31"/>
          <w:szCs w:val="31"/>
        </w:rPr>
        <w:sectPr>
          <w:footerReference r:id="rId22" w:type="default"/>
          <w:pgSz w:w="11906" w:h="16839"/>
          <w:pgMar w:top="1431" w:right="1530" w:bottom="1187" w:left="1544" w:header="0" w:footer="1023" w:gutter="0"/>
          <w:cols w:space="720" w:num="1"/>
        </w:sectPr>
      </w:pPr>
    </w:p>
    <w:p>
      <w:pPr>
        <w:pStyle w:val="2"/>
        <w:spacing w:line="359" w:lineRule="auto"/>
      </w:pPr>
    </w:p>
    <w:p>
      <w:pPr>
        <w:pStyle w:val="2"/>
        <w:spacing w:line="360" w:lineRule="auto"/>
      </w:pPr>
    </w:p>
    <w:p>
      <w:pPr>
        <w:spacing w:line="4763" w:lineRule="exact"/>
        <w:ind w:firstLine="1311"/>
      </w:pPr>
      <w:r>
        <w:rPr>
          <w:position w:val="-95"/>
        </w:rPr>
        <w:drawing>
          <wp:inline distT="0" distB="0" distL="0" distR="0">
            <wp:extent cx="3914775" cy="302387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15409" cy="30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22" w:lineRule="auto"/>
        <w:ind w:left="161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图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4：财政拨款收支与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2020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年度决算对比情况</w:t>
      </w:r>
    </w:p>
    <w:p>
      <w:pPr>
        <w:spacing w:before="306" w:line="231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（二）财政拨款收支与年初预算数对比情况</w:t>
      </w:r>
    </w:p>
    <w:p>
      <w:pPr>
        <w:spacing w:before="195" w:line="345" w:lineRule="auto"/>
        <w:ind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本单位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年度财政拨款本年收入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22</w:t>
      </w:r>
      <w:r>
        <w:rPr>
          <w:rFonts w:ascii="仿宋" w:hAnsi="仿宋" w:eastAsia="仿宋" w:cs="仿宋"/>
          <w:spacing w:val="5"/>
          <w:sz w:val="31"/>
          <w:szCs w:val="31"/>
        </w:rPr>
        <w:t>00.84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初预算的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97.16%,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比年初预算减少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64.3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万元，决算数小于预算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数主要原因是主体班培训费和教育及科研活动</w:t>
      </w:r>
      <w:r>
        <w:rPr>
          <w:rFonts w:ascii="仿宋" w:hAnsi="仿宋" w:eastAsia="仿宋" w:cs="仿宋"/>
          <w:spacing w:val="16"/>
          <w:sz w:val="31"/>
          <w:szCs w:val="31"/>
        </w:rPr>
        <w:t>经费在预算执行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中进行了预算调整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，调减了预算收入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；本年支出 1960.62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元，完成年初预算的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86.56%,比年初预算减少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304.52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算数小于预算数主要原因是人员经费结转下年支出（如图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所</w:t>
      </w:r>
    </w:p>
    <w:p>
      <w:pPr>
        <w:spacing w:before="1" w:line="227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示）。具体情况如下：</w:t>
      </w:r>
    </w:p>
    <w:p>
      <w:pPr>
        <w:spacing w:before="200" w:line="345" w:lineRule="auto"/>
        <w:ind w:left="9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1.一般公共预算财政拨款本年收入完成年初预算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97.16%，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比年初预算减少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64.3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万元，主要是主体班培训费和教育及科研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活动经费在预算执行中进行了预算调整，调减了预算收入；支</w:t>
      </w:r>
    </w:p>
    <w:p>
      <w:pPr>
        <w:spacing w:line="227" w:lineRule="auto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出完成年初预算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86.56%，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比年初预算减少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304.5</w:t>
      </w:r>
      <w:r>
        <w:rPr>
          <w:rFonts w:ascii="仿宋" w:hAnsi="仿宋" w:eastAsia="仿宋" w:cs="仿宋"/>
          <w:spacing w:val="9"/>
          <w:sz w:val="31"/>
          <w:szCs w:val="31"/>
        </w:rPr>
        <w:t>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23" w:type="default"/>
          <w:pgSz w:w="11906" w:h="16839"/>
          <w:pgMar w:top="1431" w:right="1530" w:bottom="1188" w:left="1551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24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是人员经费结转下年支出。</w:t>
      </w:r>
    </w:p>
    <w:p>
      <w:pPr>
        <w:spacing w:before="203" w:line="345" w:lineRule="auto"/>
        <w:ind w:right="2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2.政府性基金预算财政拨款本年收入完成年初预算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9"/>
          <w:sz w:val="31"/>
          <w:szCs w:val="31"/>
        </w:rPr>
        <w:t>%，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年初预算增加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万元，主要是我单位无政府性基金预算财政拨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款收入；支出完成年初预算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0%，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</w:t>
      </w:r>
    </w:p>
    <w:p>
      <w:pPr>
        <w:spacing w:before="1" w:line="225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是我单位无政府性基金预算财政拨款支出。</w:t>
      </w:r>
    </w:p>
    <w:p>
      <w:pPr>
        <w:spacing w:before="203" w:line="345" w:lineRule="auto"/>
        <w:ind w:left="2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3.国有资本经营预算财政拨款本年收入完成年初预算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万元，主要是我单位无国有资本经营预算财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政拨款收入；支出完成年初预算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0%，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</w:t>
      </w:r>
    </w:p>
    <w:p>
      <w:pPr>
        <w:spacing w:before="1" w:line="226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主要是我单位无国有资本经营预算财政拨款支出。</w:t>
      </w:r>
    </w:p>
    <w:p>
      <w:pPr>
        <w:spacing w:before="27" w:line="6514" w:lineRule="exact"/>
        <w:ind w:firstLine="591"/>
      </w:pPr>
      <w:r>
        <w:rPr>
          <w:position w:val="-130"/>
        </w:rPr>
        <w:drawing>
          <wp:inline distT="0" distB="0" distL="0" distR="0">
            <wp:extent cx="4835525" cy="41363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2" w:line="222" w:lineRule="auto"/>
        <w:ind w:left="22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图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5：财政拨款收支预决算对比情况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4" w:type="default"/>
          <w:pgSz w:w="11906" w:h="16839"/>
          <w:pgMar w:top="1431" w:right="1531" w:bottom="1188" w:left="1551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32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财政拨款支出决算结构情况。</w:t>
      </w:r>
    </w:p>
    <w:p>
      <w:pPr>
        <w:spacing w:before="188" w:line="228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2021 年度财政拨款支出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1960.62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万元，主要用于以下方面：</w:t>
      </w:r>
    </w:p>
    <w:p>
      <w:pPr>
        <w:spacing w:before="195" w:line="346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教育（类）支出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1755.25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占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89.53%，主要用于基本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7"/>
          <w:sz w:val="31"/>
          <w:szCs w:val="31"/>
        </w:rPr>
        <w:t>建设支出、主体班培训支出、教育及科研活</w:t>
      </w:r>
      <w:r>
        <w:rPr>
          <w:rFonts w:ascii="仿宋" w:hAnsi="仿宋" w:eastAsia="仿宋" w:cs="仿宋"/>
          <w:spacing w:val="16"/>
          <w:sz w:val="31"/>
          <w:szCs w:val="31"/>
        </w:rPr>
        <w:t>动支出、人员经费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9"/>
          <w:sz w:val="31"/>
          <w:szCs w:val="31"/>
        </w:rPr>
        <w:t>支出及日常公用支出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；社会保障和就业（类）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支出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81</w:t>
      </w:r>
      <w:r>
        <w:rPr>
          <w:rFonts w:ascii="仿宋" w:hAnsi="仿宋" w:eastAsia="仿宋" w:cs="仿宋"/>
          <w:spacing w:val="18"/>
          <w:sz w:val="31"/>
          <w:szCs w:val="31"/>
        </w:rPr>
        <w:t>.32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2"/>
          <w:sz w:val="31"/>
          <w:szCs w:val="31"/>
        </w:rPr>
        <w:t>元，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占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4.15%；卫生健康支出（类）支出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74.35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占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3.79%；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住房保障（类）支出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49.71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2.54%。如图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6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所示：</w:t>
      </w:r>
    </w:p>
    <w:p>
      <w:pPr>
        <w:spacing w:before="2" w:line="4373" w:lineRule="exact"/>
        <w:ind w:firstLine="1814"/>
      </w:pPr>
      <w:r>
        <w:rPr>
          <w:position w:val="-87"/>
        </w:rPr>
        <w:drawing>
          <wp:inline distT="0" distB="0" distL="0" distR="0">
            <wp:extent cx="3277870" cy="277685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9" w:line="222" w:lineRule="auto"/>
        <w:ind w:left="16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图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6：财政拨款支出决算结构（按功能分类）</w:t>
      </w:r>
    </w:p>
    <w:p>
      <w:pPr>
        <w:pStyle w:val="2"/>
        <w:spacing w:line="261" w:lineRule="auto"/>
      </w:pPr>
    </w:p>
    <w:p>
      <w:pPr>
        <w:spacing w:before="101" w:line="231" w:lineRule="auto"/>
        <w:ind w:left="4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（四）一般公共预算基本支出决算情况说明</w:t>
      </w:r>
    </w:p>
    <w:p>
      <w:pPr>
        <w:spacing w:before="193" w:line="228" w:lineRule="auto"/>
        <w:ind w:left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2021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年度财政拨款基本支出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902.58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万元，其中：</w:t>
      </w:r>
    </w:p>
    <w:p>
      <w:pPr>
        <w:spacing w:before="201" w:line="345" w:lineRule="auto"/>
        <w:ind w:left="6" w:right="201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人员经费 675.94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万元，主要包括基本工资、津贴补贴、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奖金、绩效工资、机关事业单位基本养老保险缴费、职工基本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医疗保险缴费、公务员医疗补助缴费、住房公积金、其他社会</w:t>
      </w:r>
    </w:p>
    <w:p>
      <w:pPr>
        <w:spacing w:before="1" w:line="225" w:lineRule="auto"/>
        <w:ind w:left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保障缴费、退休费、奖励金。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25" w:type="default"/>
          <w:pgSz w:w="11906" w:h="16839"/>
          <w:pgMar w:top="1431" w:right="1329" w:bottom="1188" w:left="1552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9" w:lineRule="auto"/>
      </w:pPr>
    </w:p>
    <w:p>
      <w:pPr>
        <w:spacing w:before="101" w:line="345" w:lineRule="auto"/>
        <w:ind w:left="10" w:right="2" w:firstLine="64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公用经费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226.64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万元，主要包括办公费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、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印刷费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、咨询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费、水费、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电费、邮电费、取暖费、物业管理费、差旅费、维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修（护）费、劳务费、委托业务费、工会经费</w:t>
      </w:r>
      <w:r>
        <w:rPr>
          <w:rFonts w:ascii="仿宋" w:hAnsi="仿宋" w:eastAsia="仿宋" w:cs="仿宋"/>
          <w:spacing w:val="16"/>
          <w:sz w:val="31"/>
          <w:szCs w:val="31"/>
        </w:rPr>
        <w:t>、福利费、公务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用车运行维护费、其他交通费用、其他商品和</w:t>
      </w:r>
      <w:r>
        <w:rPr>
          <w:rFonts w:ascii="仿宋" w:hAnsi="仿宋" w:eastAsia="仿宋" w:cs="仿宋"/>
          <w:spacing w:val="16"/>
          <w:sz w:val="31"/>
          <w:szCs w:val="31"/>
        </w:rPr>
        <w:t>服务支出、办公</w:t>
      </w:r>
    </w:p>
    <w:p>
      <w:pPr>
        <w:spacing w:line="229" w:lineRule="auto"/>
        <w:ind w:left="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设备购置、专用设备购置。</w:t>
      </w:r>
    </w:p>
    <w:p>
      <w:pPr>
        <w:spacing w:before="196" w:line="226" w:lineRule="auto"/>
        <w:ind w:left="6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五、一般公共预算“三公” 经费支出决算情况说明</w:t>
      </w:r>
    </w:p>
    <w:p>
      <w:pPr>
        <w:spacing w:before="200" w:line="23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（一）“三公</w:t>
      </w:r>
      <w:r>
        <w:rPr>
          <w:rFonts w:ascii="楷体" w:hAnsi="楷体" w:eastAsia="楷体" w:cs="楷体"/>
          <w:spacing w:val="-10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”经费财政拨款支出决算总体情况说明</w:t>
      </w:r>
    </w:p>
    <w:p>
      <w:pPr>
        <w:spacing w:before="195" w:line="345" w:lineRule="auto"/>
        <w:ind w:right="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本单位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2021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年度“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三公</w:t>
      </w:r>
      <w:r>
        <w:rPr>
          <w:rFonts w:ascii="仿宋" w:hAnsi="仿宋" w:eastAsia="仿宋" w:cs="仿宋"/>
          <w:spacing w:val="-9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”经费财政拨款支出预算为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5.01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，支出决算为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，完成预算的 19.96%，</w:t>
      </w:r>
      <w:r>
        <w:rPr>
          <w:rFonts w:ascii="仿宋" w:hAnsi="仿宋" w:eastAsia="仿宋" w:cs="仿宋"/>
          <w:spacing w:val="12"/>
          <w:sz w:val="31"/>
          <w:szCs w:val="31"/>
        </w:rPr>
        <w:t>较预算减少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4.01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万元，降低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80.04%，主要是因新冠疫原因公务活动减少，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同时认真贯彻落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实中央八项规定</w:t>
      </w:r>
      <w:r>
        <w:rPr>
          <w:rFonts w:ascii="仿宋" w:hAnsi="仿宋" w:eastAsia="仿宋" w:cs="仿宋"/>
          <w:color w:val="auto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精神和厉</w:t>
      </w:r>
      <w:r>
        <w:rPr>
          <w:rFonts w:ascii="仿宋" w:hAnsi="仿宋" w:eastAsia="仿宋" w:cs="仿宋"/>
          <w:spacing w:val="15"/>
          <w:sz w:val="31"/>
          <w:szCs w:val="31"/>
        </w:rPr>
        <w:t>行节约要求及过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紧日子思想，公务车运行费支出减少；较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2020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年度决算增加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0.07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万元，增长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7.53%，主要是因公车</w:t>
      </w:r>
      <w:r>
        <w:rPr>
          <w:rFonts w:ascii="仿宋" w:hAnsi="仿宋" w:eastAsia="仿宋" w:cs="仿宋"/>
          <w:spacing w:val="12"/>
          <w:sz w:val="31"/>
          <w:szCs w:val="31"/>
        </w:rPr>
        <w:t>维修维护需要，公车运</w:t>
      </w:r>
    </w:p>
    <w:p>
      <w:pPr>
        <w:spacing w:line="226" w:lineRule="auto"/>
        <w:ind w:left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行费支出较上年有所增加。</w:t>
      </w:r>
    </w:p>
    <w:p>
      <w:pPr>
        <w:spacing w:before="200" w:line="23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（二）“三公</w:t>
      </w:r>
      <w:r>
        <w:rPr>
          <w:rFonts w:ascii="楷体" w:hAnsi="楷体" w:eastAsia="楷体" w:cs="楷体"/>
          <w:spacing w:val="-10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”经费财政拨款支出决算具体情况说明</w:t>
      </w:r>
    </w:p>
    <w:p>
      <w:pPr>
        <w:spacing w:before="196" w:line="345" w:lineRule="auto"/>
        <w:ind w:left="3" w:firstLine="65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1.因公出国（境）</w:t>
      </w:r>
      <w:r>
        <w:rPr>
          <w:rFonts w:ascii="楷体" w:hAnsi="楷体" w:eastAsia="楷体" w:cs="楷体"/>
          <w:spacing w:val="-77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费支出情况。</w:t>
      </w:r>
      <w:r>
        <w:rPr>
          <w:rFonts w:ascii="仿宋" w:hAnsi="仿宋" w:eastAsia="仿宋" w:cs="仿宋"/>
          <w:spacing w:val="5"/>
          <w:sz w:val="31"/>
          <w:szCs w:val="31"/>
        </w:rPr>
        <w:t>本单位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年度因公出国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（境）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费支出预算为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，支出决算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，完成预算的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0%。其中因公出国（境）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团组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个、共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人、参加其他单位组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织的因公出国（境）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团组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个、共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人</w:t>
      </w:r>
      <w:r>
        <w:rPr>
          <w:rFonts w:ascii="仿宋" w:hAnsi="仿宋" w:eastAsia="仿宋" w:cs="仿宋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ascii="仿宋" w:hAnsi="仿宋" w:eastAsia="仿宋" w:cs="仿宋"/>
          <w:spacing w:val="14"/>
          <w:sz w:val="31"/>
          <w:szCs w:val="31"/>
        </w:rPr>
        <w:t>无本单位组织</w:t>
      </w:r>
      <w:r>
        <w:rPr>
          <w:rFonts w:ascii="仿宋" w:hAnsi="仿宋" w:eastAsia="仿宋" w:cs="仿宋"/>
          <w:spacing w:val="13"/>
          <w:sz w:val="31"/>
          <w:szCs w:val="31"/>
        </w:rPr>
        <w:t>的出国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（境）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团组。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因公出国（境）费支出较预算增加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万元，增长</w:t>
      </w:r>
    </w:p>
    <w:p>
      <w:pPr>
        <w:spacing w:before="1" w:line="227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0%，主要是因新冠疫情影响无出国（境）活动，未发生因公出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26" w:type="default"/>
          <w:pgSz w:w="11906" w:h="16839"/>
          <w:pgMar w:top="1431" w:right="1528" w:bottom="1188" w:left="1541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345" w:lineRule="auto"/>
        <w:ind w:left="37" w:right="3" w:firstLine="2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国（境）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费支出，与预算持平；较上年增加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</w:t>
      </w:r>
      <w:r>
        <w:rPr>
          <w:rFonts w:ascii="仿宋" w:hAnsi="仿宋" w:eastAsia="仿宋" w:cs="仿宋"/>
          <w:spacing w:val="11"/>
          <w:sz w:val="31"/>
          <w:szCs w:val="31"/>
        </w:rPr>
        <w:t>，增长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主要是因新冠疫情原因无出国（境）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活动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，未发生因公出国</w:t>
      </w:r>
    </w:p>
    <w:p>
      <w:pPr>
        <w:spacing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（境）费支出，与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2020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年度决算支出持平。</w:t>
      </w:r>
    </w:p>
    <w:p>
      <w:pPr>
        <w:spacing w:before="202" w:line="345" w:lineRule="auto"/>
        <w:ind w:firstLine="65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2.公务用车购置及运行维护费支出情况。</w:t>
      </w:r>
      <w:r>
        <w:rPr>
          <w:rFonts w:ascii="仿宋" w:hAnsi="仿宋" w:eastAsia="仿宋" w:cs="仿宋"/>
          <w:spacing w:val="8"/>
          <w:sz w:val="31"/>
          <w:szCs w:val="31"/>
        </w:rPr>
        <w:t>本单位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公务用车购置及运行维护费预算为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5.01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万元，支出决算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1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元，完成预算的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19.96%。较预算减少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4.01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万元，降低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80.04%,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主要是因新冠疫情原因公务活动减少，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同时认真贯彻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落实中央</w:t>
      </w:r>
      <w:r>
        <w:rPr>
          <w:rFonts w:ascii="仿宋" w:hAnsi="仿宋" w:eastAsia="仿宋" w:cs="仿宋"/>
          <w:color w:val="auto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6"/>
          <w:sz w:val="31"/>
          <w:szCs w:val="31"/>
        </w:rPr>
        <w:t>八项规定精神和厉行节约要求及过紧日子思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想，公务车</w:t>
      </w:r>
      <w:r>
        <w:rPr>
          <w:rFonts w:ascii="仿宋" w:hAnsi="仿宋" w:eastAsia="仿宋" w:cs="仿宋"/>
          <w:spacing w:val="15"/>
          <w:sz w:val="31"/>
          <w:szCs w:val="31"/>
        </w:rPr>
        <w:t>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行费支出减少；较上年决算数增加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0.33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万元，增长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49.25%,主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要是因公车维修维护需要，公车运行费支出较上年有所增加。</w:t>
      </w:r>
    </w:p>
    <w:p>
      <w:pPr>
        <w:spacing w:before="1" w:line="227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其中：</w:t>
      </w:r>
    </w:p>
    <w:p>
      <w:pPr>
        <w:spacing w:before="217" w:line="357" w:lineRule="auto"/>
        <w:ind w:left="28" w:right="2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公务用车购置费支出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楷体" w:hAnsi="楷体" w:eastAsia="楷体" w:cs="楷体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万元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仿宋" w:hAnsi="仿宋" w:eastAsia="仿宋" w:cs="仿宋"/>
          <w:spacing w:val="6"/>
          <w:sz w:val="31"/>
          <w:szCs w:val="31"/>
        </w:rPr>
        <w:t>本单位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年度公务用车购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置量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辆，发生“公务用车购置</w:t>
      </w:r>
      <w:r>
        <w:rPr>
          <w:rFonts w:ascii="仿宋" w:hAnsi="仿宋" w:eastAsia="仿宋" w:cs="仿宋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”经费支出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万元。公务用车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购置费支出较预算增加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万元，增长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0%,主要是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</w:t>
      </w:r>
      <w:r>
        <w:rPr>
          <w:rFonts w:ascii="仿宋" w:hAnsi="仿宋" w:eastAsia="仿宋" w:cs="仿宋"/>
          <w:spacing w:val="7"/>
          <w:sz w:val="31"/>
          <w:szCs w:val="31"/>
        </w:rPr>
        <w:t>1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年度未发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生公务用车购置经费支出，与年初预算持平；较上年增加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元，增长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0%,主要是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2021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年度未发生公务用车购置经费支出，</w:t>
      </w:r>
    </w:p>
    <w:p>
      <w:pPr>
        <w:spacing w:line="227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与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2020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年度决算支出持平。</w:t>
      </w:r>
    </w:p>
    <w:p>
      <w:pPr>
        <w:spacing w:before="204" w:line="345" w:lineRule="auto"/>
        <w:ind w:left="34" w:right="2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公务用车运行维护费支出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万元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仿宋" w:hAnsi="仿宋" w:eastAsia="仿宋" w:cs="仿宋"/>
          <w:spacing w:val="5"/>
          <w:sz w:val="31"/>
          <w:szCs w:val="31"/>
        </w:rPr>
        <w:t>本单位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年度单位公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务用车保有量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辆。公车运行维护费支出较预算减少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4.01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元，降低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80.04%,主要是因新冠疫情公务活动减少，认真贯彻</w:t>
      </w:r>
    </w:p>
    <w:p>
      <w:pPr>
        <w:spacing w:before="1" w:line="226" w:lineRule="auto"/>
        <w:ind w:left="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落</w:t>
      </w:r>
      <w:r>
        <w:rPr>
          <w:rFonts w:ascii="仿宋" w:hAnsi="仿宋" w:eastAsia="仿宋" w:cs="仿宋"/>
          <w:color w:val="auto"/>
          <w:spacing w:val="13"/>
          <w:sz w:val="31"/>
          <w:szCs w:val="31"/>
        </w:rPr>
        <w:t>实中央八项规定</w:t>
      </w:r>
      <w:r>
        <w:rPr>
          <w:rFonts w:ascii="仿宋" w:hAnsi="仿宋" w:eastAsia="仿宋" w:cs="仿宋"/>
          <w:color w:val="auto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3"/>
          <w:sz w:val="31"/>
          <w:szCs w:val="31"/>
        </w:rPr>
        <w:t>精</w:t>
      </w:r>
      <w:r>
        <w:rPr>
          <w:rFonts w:ascii="仿宋" w:hAnsi="仿宋" w:eastAsia="仿宋" w:cs="仿宋"/>
          <w:spacing w:val="13"/>
          <w:sz w:val="31"/>
          <w:szCs w:val="31"/>
        </w:rPr>
        <w:t>神和厉行节约要求及过紧日子思想，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footerReference r:id="rId27" w:type="default"/>
          <w:pgSz w:w="11906" w:h="16839"/>
          <w:pgMar w:top="1431" w:right="1528" w:bottom="1188" w:left="1523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345" w:lineRule="auto"/>
        <w:ind w:left="17" w:right="39" w:firstLine="1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公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务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车</w:t>
      </w:r>
      <w:r>
        <w:rPr>
          <w:rFonts w:ascii="仿宋" w:hAnsi="仿宋" w:eastAsia="仿宋" w:cs="仿宋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运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行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费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支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出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减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少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；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较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上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年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增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 xml:space="preserve">加 0.33 </w:t>
      </w:r>
      <w:r>
        <w:rPr>
          <w:rFonts w:ascii="仿宋" w:hAnsi="仿宋" w:eastAsia="仿宋" w:cs="仿宋"/>
          <w:spacing w:val="-15"/>
          <w:sz w:val="31"/>
          <w:szCs w:val="31"/>
        </w:rPr>
        <w:t>万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元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，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增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49.25%，主要是因公车维修维护需要，公车运行费支出较上年</w:t>
      </w:r>
    </w:p>
    <w:p>
      <w:pPr>
        <w:spacing w:before="1" w:line="227" w:lineRule="auto"/>
        <w:ind w:left="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有所增加。</w:t>
      </w:r>
    </w:p>
    <w:p>
      <w:pPr>
        <w:spacing w:before="201" w:line="345" w:lineRule="auto"/>
        <w:ind w:right="39" w:firstLine="66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3.公务接待费支出情况。</w:t>
      </w:r>
      <w:r>
        <w:rPr>
          <w:rFonts w:ascii="仿宋" w:hAnsi="仿宋" w:eastAsia="仿宋" w:cs="仿宋"/>
          <w:spacing w:val="8"/>
          <w:sz w:val="31"/>
          <w:szCs w:val="31"/>
        </w:rPr>
        <w:t>本单位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年度公务接待费支出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预算为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0，支出决算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0%。本年度共发生公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务接待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批次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、0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人次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。公务接待费支出较预算减少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0.27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元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，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降低 100%,主要是因新冠疫情影响及认真贯彻</w:t>
      </w:r>
      <w:r>
        <w:rPr>
          <w:rFonts w:ascii="仿宋" w:hAnsi="仿宋" w:eastAsia="仿宋" w:cs="仿宋"/>
          <w:color w:val="auto"/>
          <w:spacing w:val="22"/>
          <w:sz w:val="31"/>
          <w:szCs w:val="31"/>
        </w:rPr>
        <w:t>落实中央</w:t>
      </w:r>
      <w:r>
        <w:rPr>
          <w:rFonts w:ascii="仿宋" w:hAnsi="仿宋" w:eastAsia="仿宋" w:cs="仿宋"/>
          <w:color w:val="auto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6"/>
          <w:sz w:val="31"/>
          <w:szCs w:val="31"/>
        </w:rPr>
        <w:t>八项规定</w:t>
      </w:r>
      <w:r>
        <w:rPr>
          <w:rFonts w:ascii="仿宋" w:hAnsi="仿宋" w:eastAsia="仿宋" w:cs="仿宋"/>
          <w:color w:val="auto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6"/>
          <w:sz w:val="31"/>
          <w:szCs w:val="31"/>
        </w:rPr>
        <w:t>精神和厉行节约要求及过紧日子思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想，公务接待</w:t>
      </w:r>
      <w:r>
        <w:rPr>
          <w:rFonts w:ascii="仿宋" w:hAnsi="仿宋" w:eastAsia="仿宋" w:cs="仿宋"/>
          <w:color w:val="auto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0"/>
          <w:sz w:val="31"/>
          <w:szCs w:val="31"/>
        </w:rPr>
        <w:t>活动减少；较上年度减少</w:t>
      </w:r>
      <w:r>
        <w:rPr>
          <w:rFonts w:ascii="仿宋" w:hAnsi="仿宋" w:eastAsia="仿宋" w:cs="仿宋"/>
          <w:color w:val="auto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0"/>
          <w:sz w:val="31"/>
          <w:szCs w:val="31"/>
        </w:rPr>
        <w:t>0.27</w:t>
      </w:r>
      <w:r>
        <w:rPr>
          <w:rFonts w:ascii="仿宋" w:hAnsi="仿宋" w:eastAsia="仿宋" w:cs="仿宋"/>
          <w:color w:val="auto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0"/>
          <w:sz w:val="31"/>
          <w:szCs w:val="31"/>
        </w:rPr>
        <w:t>万元，降低</w:t>
      </w:r>
      <w:r>
        <w:rPr>
          <w:rFonts w:ascii="仿宋" w:hAnsi="仿宋" w:eastAsia="仿宋" w:cs="仿宋"/>
          <w:color w:val="auto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0"/>
          <w:sz w:val="31"/>
          <w:szCs w:val="31"/>
        </w:rPr>
        <w:t>1</w:t>
      </w:r>
      <w:r>
        <w:rPr>
          <w:rFonts w:ascii="仿宋" w:hAnsi="仿宋" w:eastAsia="仿宋" w:cs="仿宋"/>
          <w:color w:val="auto"/>
          <w:spacing w:val="9"/>
          <w:sz w:val="31"/>
          <w:szCs w:val="31"/>
        </w:rPr>
        <w:t>00%,主要是因新冠</w:t>
      </w:r>
      <w:r>
        <w:rPr>
          <w:rFonts w:ascii="仿宋" w:hAnsi="仿宋" w:eastAsia="仿宋" w:cs="仿宋"/>
          <w:color w:val="auto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6"/>
          <w:sz w:val="31"/>
          <w:szCs w:val="31"/>
        </w:rPr>
        <w:t>疫情影响及认真贯彻落实中央八项规定</w:t>
      </w:r>
      <w:r>
        <w:rPr>
          <w:rFonts w:ascii="仿宋" w:hAnsi="仿宋" w:eastAsia="仿宋" w:cs="仿宋"/>
          <w:color w:val="auto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auto"/>
          <w:spacing w:val="16"/>
          <w:sz w:val="31"/>
          <w:szCs w:val="31"/>
        </w:rPr>
        <w:t>精神</w:t>
      </w:r>
      <w:r>
        <w:rPr>
          <w:rFonts w:ascii="仿宋" w:hAnsi="仿宋" w:eastAsia="仿宋" w:cs="仿宋"/>
          <w:color w:val="auto"/>
          <w:spacing w:val="15"/>
          <w:sz w:val="31"/>
          <w:szCs w:val="31"/>
        </w:rPr>
        <w:t>和厉行节约</w:t>
      </w:r>
      <w:r>
        <w:rPr>
          <w:rFonts w:ascii="仿宋" w:hAnsi="仿宋" w:eastAsia="仿宋" w:cs="仿宋"/>
          <w:spacing w:val="15"/>
          <w:sz w:val="31"/>
          <w:szCs w:val="31"/>
        </w:rPr>
        <w:t>要</w:t>
      </w:r>
      <w:r>
        <w:rPr>
          <w:rFonts w:ascii="仿宋" w:hAnsi="仿宋" w:eastAsia="仿宋" w:cs="仿宋"/>
          <w:spacing w:val="8"/>
          <w:sz w:val="31"/>
          <w:szCs w:val="31"/>
        </w:rPr>
        <w:t>求及贯彻落实过紧日子思想，公务接待活动减少。</w:t>
      </w:r>
    </w:p>
    <w:p>
      <w:pPr>
        <w:spacing w:before="199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六、预算绩效情况说明</w:t>
      </w:r>
    </w:p>
    <w:p>
      <w:pPr>
        <w:spacing w:before="200" w:line="226" w:lineRule="auto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（一）预算绩效管理工作开展情况</w:t>
      </w:r>
    </w:p>
    <w:p>
      <w:pPr>
        <w:spacing w:before="196" w:line="346" w:lineRule="auto"/>
        <w:ind w:left="30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根据预算绩效管理要求，本单位组织对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年度一般公共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预算项目支出全面开展绩效自评，其中，一</w:t>
      </w:r>
      <w:r>
        <w:rPr>
          <w:rFonts w:ascii="仿宋" w:hAnsi="仿宋" w:eastAsia="仿宋" w:cs="仿宋"/>
          <w:spacing w:val="4"/>
          <w:sz w:val="31"/>
          <w:szCs w:val="31"/>
        </w:rPr>
        <w:t>级项目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7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个（其中：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本年项目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6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个，上年结转项目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</w:t>
      </w:r>
      <w:r>
        <w:rPr>
          <w:rFonts w:ascii="仿宋" w:hAnsi="仿宋" w:eastAsia="仿宋" w:cs="仿宋"/>
          <w:spacing w:val="3"/>
          <w:sz w:val="31"/>
          <w:szCs w:val="31"/>
        </w:rPr>
        <w:t>）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pacing w:val="7"/>
          <w:sz w:val="31"/>
          <w:szCs w:val="31"/>
        </w:rPr>
        <w:t>二级项目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个，共涉及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资金</w:t>
      </w:r>
      <w:r>
        <w:rPr>
          <w:rFonts w:ascii="仿宋" w:hAnsi="仿宋" w:eastAsia="仿宋" w:cs="仿宋"/>
          <w:spacing w:val="-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1131.4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占一般公共预算项目支出总额的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100%。组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织对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个政府性基金预算项目支出开展绩效自评，共</w:t>
      </w:r>
    </w:p>
    <w:p>
      <w:pPr>
        <w:spacing w:before="2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涉及资金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占政府性基金预算项目支出总额</w:t>
      </w:r>
      <w:r>
        <w:rPr>
          <w:rFonts w:ascii="仿宋" w:hAnsi="仿宋" w:eastAsia="仿宋" w:cs="仿宋"/>
          <w:spacing w:val="2"/>
          <w:sz w:val="31"/>
          <w:szCs w:val="31"/>
        </w:rPr>
        <w:t>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0%。</w:t>
      </w:r>
    </w:p>
    <w:p>
      <w:pPr>
        <w:spacing w:before="200" w:line="226" w:lineRule="auto"/>
        <w:ind w:left="7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（二）单位决算中项目绩效自评结果</w:t>
      </w:r>
    </w:p>
    <w:p>
      <w:pPr>
        <w:spacing w:before="200" w:line="225" w:lineRule="auto"/>
        <w:ind w:right="41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本部门在今年单位决算公开中反映主体班培训费及教育及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28" w:type="default"/>
          <w:pgSz w:w="11906" w:h="16839"/>
          <w:pgMar w:top="1431" w:right="1491" w:bottom="1188" w:left="1523" w:header="0" w:footer="1023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1" w:line="228" w:lineRule="auto"/>
        <w:ind w:left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科研活动经费项目等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6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个项目绩效自评结果。</w:t>
      </w:r>
    </w:p>
    <w:p>
      <w:pPr>
        <w:spacing w:before="205" w:line="345" w:lineRule="auto"/>
        <w:ind w:firstLine="65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（一）主体班培训费项目自评综述：根据年初设定的绩效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目标，主体班培训费项目绩效自评得分为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98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分（绩效自评表附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后）。全年年初预算数为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153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万元，预算调整数为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95.</w:t>
      </w:r>
      <w:r>
        <w:rPr>
          <w:rFonts w:ascii="仿宋" w:hAnsi="仿宋" w:eastAsia="仿宋" w:cs="仿宋"/>
          <w:spacing w:val="2"/>
          <w:sz w:val="31"/>
          <w:szCs w:val="31"/>
        </w:rPr>
        <w:t>79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执行数为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88.635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92.53</w:t>
      </w:r>
      <w:r>
        <w:rPr>
          <w:rFonts w:ascii="仿宋" w:hAnsi="仿宋" w:eastAsia="仿宋" w:cs="仿宋"/>
          <w:spacing w:val="13"/>
          <w:sz w:val="31"/>
          <w:szCs w:val="31"/>
        </w:rPr>
        <w:t>%。项目绩效目标完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成情况：通过项目实施，年初设定的培训期次、培训</w:t>
      </w:r>
      <w:r>
        <w:rPr>
          <w:rFonts w:ascii="仿宋" w:hAnsi="仿宋" w:eastAsia="仿宋" w:cs="仿宋"/>
          <w:spacing w:val="16"/>
          <w:sz w:val="31"/>
          <w:szCs w:val="31"/>
        </w:rPr>
        <w:t>人数等绩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效目标未完成。主要原因是：在编制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年预算时，我们根据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省委统战部草拟的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2021</w:t>
      </w:r>
      <w:r>
        <w:rPr>
          <w:rFonts w:ascii="仿宋" w:hAnsi="仿宋" w:eastAsia="仿宋" w:cs="仿宋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年度统一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战线教育培训计划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，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申报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39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期主体班培训费预算，2021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月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26 日</w:t>
      </w:r>
      <w:r>
        <w:rPr>
          <w:rFonts w:ascii="仿宋" w:hAnsi="仿宋" w:eastAsia="仿宋" w:cs="仿宋"/>
          <w:sz w:val="31"/>
          <w:szCs w:val="31"/>
        </w:rPr>
        <w:t xml:space="preserve">，省委统战 </w:t>
      </w:r>
      <w:r>
        <w:rPr>
          <w:rFonts w:ascii="仿宋" w:hAnsi="仿宋" w:eastAsia="仿宋" w:cs="仿宋"/>
          <w:spacing w:val="8"/>
          <w:sz w:val="31"/>
          <w:szCs w:val="31"/>
        </w:rPr>
        <w:t>部正式印发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年度培训计划（冀统办〔2</w:t>
      </w:r>
      <w:r>
        <w:rPr>
          <w:rFonts w:ascii="仿宋" w:hAnsi="仿宋" w:eastAsia="仿宋" w:cs="仿宋"/>
          <w:spacing w:val="7"/>
          <w:sz w:val="31"/>
          <w:szCs w:val="31"/>
        </w:rPr>
        <w:t>021〕7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号</w:t>
      </w:r>
      <w:r>
        <w:rPr>
          <w:rFonts w:ascii="仿宋" w:hAnsi="仿宋" w:eastAsia="仿宋" w:cs="仿宋"/>
          <w:spacing w:val="-4"/>
          <w:sz w:val="31"/>
          <w:szCs w:val="31"/>
        </w:rPr>
        <w:t>）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，</w:t>
      </w:r>
      <w:r>
        <w:rPr>
          <w:rFonts w:ascii="仿宋" w:hAnsi="仿宋" w:eastAsia="仿宋" w:cs="仿宋"/>
          <w:spacing w:val="7"/>
          <w:sz w:val="31"/>
          <w:szCs w:val="31"/>
        </w:rPr>
        <w:t>将学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院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2021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年度举办主体班次数量从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39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期调整为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26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期，我们在预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算执行中对年初预算进行了调整，但因受新冠肺炎疫情的</w:t>
      </w:r>
      <w:r>
        <w:rPr>
          <w:rFonts w:ascii="仿宋" w:hAnsi="仿宋" w:eastAsia="仿宋" w:cs="仿宋"/>
          <w:spacing w:val="16"/>
          <w:sz w:val="31"/>
          <w:szCs w:val="31"/>
        </w:rPr>
        <w:t>严重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影响，调整预算及调减班次后部分培训班仍未能举办</w:t>
      </w:r>
      <w:r>
        <w:rPr>
          <w:rFonts w:ascii="仿宋" w:hAnsi="仿宋" w:eastAsia="仿宋" w:cs="仿宋"/>
          <w:spacing w:val="16"/>
          <w:sz w:val="31"/>
          <w:szCs w:val="31"/>
        </w:rPr>
        <w:t>。今后再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设定绩效目标时，我们将充分考虑疫情防控常态化的因素，加</w:t>
      </w:r>
    </w:p>
    <w:p>
      <w:pPr>
        <w:spacing w:before="1" w:line="227" w:lineRule="auto"/>
        <w:ind w:left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强与省委统战部的沟通，使绩效目标设定更加科学、准确。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29" w:type="default"/>
          <w:pgSz w:w="11906" w:h="16839"/>
          <w:pgMar w:top="1431" w:right="1486" w:bottom="1188" w:left="1546" w:header="0" w:footer="1023" w:gutter="0"/>
          <w:cols w:space="720" w:num="1"/>
        </w:sectPr>
      </w:pPr>
    </w:p>
    <w:p>
      <w:pPr>
        <w:pStyle w:val="2"/>
        <w:spacing w:line="326" w:lineRule="auto"/>
      </w:pPr>
    </w:p>
    <w:p>
      <w:pPr>
        <w:pStyle w:val="2"/>
        <w:spacing w:line="326" w:lineRule="auto"/>
      </w:pPr>
    </w:p>
    <w:p>
      <w:pPr>
        <w:spacing w:line="12065" w:lineRule="exact"/>
      </w:pPr>
      <w:r>
        <w:rPr>
          <w:position w:val="-241"/>
        </w:rPr>
        <w:drawing>
          <wp:inline distT="0" distB="0" distL="0" distR="0">
            <wp:extent cx="5615940" cy="766064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65" w:lineRule="exact"/>
        <w:sectPr>
          <w:footerReference r:id="rId30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49" w:lineRule="auto"/>
      </w:pPr>
    </w:p>
    <w:p>
      <w:pPr>
        <w:pStyle w:val="2"/>
        <w:spacing w:line="350" w:lineRule="auto"/>
      </w:pPr>
    </w:p>
    <w:p>
      <w:pPr>
        <w:spacing w:before="101" w:line="345" w:lineRule="auto"/>
        <w:ind w:left="21" w:firstLine="64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（二）教育及科研活动经费自评综述：根据年初设定的绩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效目标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，教育及科研活动经费项目绩效自评得</w:t>
      </w:r>
      <w:r>
        <w:rPr>
          <w:rFonts w:ascii="仿宋" w:hAnsi="仿宋" w:eastAsia="仿宋" w:cs="仿宋"/>
          <w:spacing w:val="21"/>
          <w:sz w:val="31"/>
          <w:szCs w:val="31"/>
        </w:rPr>
        <w:t>分为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99.21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（绩效自评表附后）。全年年初预算数为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5</w:t>
      </w:r>
      <w:r>
        <w:rPr>
          <w:rFonts w:ascii="仿宋" w:hAnsi="仿宋" w:eastAsia="仿宋" w:cs="仿宋"/>
          <w:spacing w:val="8"/>
          <w:sz w:val="31"/>
          <w:szCs w:val="31"/>
        </w:rPr>
        <w:t>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万元，预算调整数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41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40.68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99.21%。项目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绩效目标完成情况：通过项目实施，年初设定的绩效目标基本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完成。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因新冠疫情影响，在预算执行过程中我院调减了年初预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算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万元，部分活动取消举办或未开展，今后要针对新冠疫情</w:t>
      </w:r>
    </w:p>
    <w:p>
      <w:pPr>
        <w:spacing w:before="1" w:line="225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常态化影响，更加科学合理的制度</w:t>
      </w:r>
      <w:bookmarkStart w:id="0" w:name="_GoBack"/>
      <w:r>
        <w:rPr>
          <w:rFonts w:ascii="仿宋" w:hAnsi="仿宋" w:eastAsia="仿宋" w:cs="仿宋"/>
          <w:color w:val="auto"/>
          <w:spacing w:val="8"/>
          <w:sz w:val="31"/>
          <w:szCs w:val="31"/>
        </w:rPr>
        <w:t>工作</w:t>
      </w:r>
      <w:r>
        <w:rPr>
          <w:rFonts w:hint="eastAsia" w:ascii="仿宋" w:hAnsi="仿宋" w:eastAsia="仿宋" w:cs="仿宋"/>
          <w:color w:val="auto"/>
          <w:spacing w:val="8"/>
          <w:sz w:val="31"/>
          <w:szCs w:val="31"/>
          <w:lang w:eastAsia="zh-CN"/>
        </w:rPr>
        <w:t>计划</w:t>
      </w:r>
      <w:r>
        <w:rPr>
          <w:rFonts w:ascii="仿宋" w:hAnsi="仿宋" w:eastAsia="仿宋" w:cs="仿宋"/>
          <w:color w:val="auto"/>
          <w:spacing w:val="8"/>
          <w:sz w:val="31"/>
          <w:szCs w:val="31"/>
        </w:rPr>
        <w:t>及工作目</w:t>
      </w:r>
      <w:bookmarkEnd w:id="0"/>
      <w:r>
        <w:rPr>
          <w:rFonts w:ascii="仿宋" w:hAnsi="仿宋" w:eastAsia="仿宋" w:cs="仿宋"/>
          <w:spacing w:val="8"/>
          <w:sz w:val="31"/>
          <w:szCs w:val="31"/>
        </w:rPr>
        <w:t>标。</w:t>
      </w:r>
    </w:p>
    <w:p>
      <w:pPr>
        <w:spacing w:before="119" w:line="7265" w:lineRule="exact"/>
      </w:pPr>
      <w:r>
        <w:rPr>
          <w:position w:val="-145"/>
        </w:rPr>
        <w:drawing>
          <wp:inline distT="0" distB="0" distL="0" distR="0">
            <wp:extent cx="5614035" cy="4612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46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65" w:lineRule="exact"/>
        <w:sectPr>
          <w:footerReference r:id="rId31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line="12156" w:lineRule="exact"/>
      </w:pPr>
      <w:r>
        <w:rPr>
          <w:position w:val="-243"/>
        </w:rPr>
        <w:drawing>
          <wp:inline distT="0" distB="0" distL="0" distR="0">
            <wp:extent cx="5614035" cy="771842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771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156" w:lineRule="exact"/>
        <w:sectPr>
          <w:footerReference r:id="rId32" w:type="default"/>
          <w:pgSz w:w="11906" w:h="16839"/>
          <w:pgMar w:top="1431" w:right="1533" w:bottom="1188" w:left="1531" w:header="0" w:footer="1023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line="11539" w:lineRule="exact"/>
      </w:pPr>
      <w:r>
        <w:rPr>
          <w:position w:val="-230"/>
        </w:rPr>
        <w:drawing>
          <wp:inline distT="0" distB="0" distL="0" distR="0">
            <wp:extent cx="5614035" cy="73272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9" w:lineRule="exact"/>
        <w:sectPr>
          <w:footerReference r:id="rId33" w:type="default"/>
          <w:pgSz w:w="11906" w:h="16839"/>
          <w:pgMar w:top="1431" w:right="1533" w:bottom="1188" w:left="1531" w:header="0" w:footer="1023" w:gutter="0"/>
          <w:cols w:space="720" w:num="1"/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spacing w:line="3444" w:lineRule="exact"/>
      </w:pPr>
      <w:r>
        <w:rPr>
          <w:position w:val="-68"/>
        </w:rPr>
        <w:drawing>
          <wp:inline distT="0" distB="0" distL="0" distR="0">
            <wp:extent cx="5614035" cy="218694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</w:pPr>
    </w:p>
    <w:p>
      <w:pPr>
        <w:spacing w:before="101" w:line="345" w:lineRule="auto"/>
        <w:ind w:left="20" w:firstLine="64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（三）生活垃圾分类奖补资金自评综述：根据年初设</w:t>
      </w:r>
      <w:r>
        <w:rPr>
          <w:rFonts w:ascii="仿宋" w:hAnsi="仿宋" w:eastAsia="仿宋" w:cs="仿宋"/>
          <w:spacing w:val="16"/>
          <w:sz w:val="31"/>
          <w:szCs w:val="31"/>
        </w:rPr>
        <w:t>定的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绩效目标，生活垃圾分类奖补资金项目绩效自评得分为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100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（绩效自评表附后）。全年年初预算数为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2.93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万元，预算调整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数为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2.93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2.93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100%。项目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绩效目标完成情况：通过项目实施，年初设定的绩效目标指标</w:t>
      </w:r>
    </w:p>
    <w:p>
      <w:pPr>
        <w:spacing w:before="1" w:line="227" w:lineRule="auto"/>
        <w:ind w:left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全部完成。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34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line="9657" w:lineRule="exact"/>
      </w:pPr>
      <w:r>
        <w:rPr>
          <w:position w:val="-193"/>
        </w:rPr>
        <w:drawing>
          <wp:inline distT="0" distB="0" distL="0" distR="0">
            <wp:extent cx="5615940" cy="613219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657" w:lineRule="exact"/>
        <w:sectPr>
          <w:footerReference r:id="rId35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49" w:lineRule="auto"/>
      </w:pPr>
    </w:p>
    <w:p>
      <w:pPr>
        <w:pStyle w:val="2"/>
        <w:spacing w:line="350" w:lineRule="auto"/>
      </w:pPr>
    </w:p>
    <w:p>
      <w:pPr>
        <w:spacing w:before="101" w:line="345" w:lineRule="auto"/>
        <w:ind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（四）课题费自评综述：根据年初设定的绩效目标，课题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费项目绩效自评得分为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87.5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分（绩效自评表附后）。全年年初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预算数为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万元，预算调整数为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3.8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完成预算的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100%。项目绩效目标完成情况：通过项目实施，年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初设定的绩效指标未完成。我院课题费入为</w:t>
      </w:r>
      <w:r>
        <w:rPr>
          <w:rFonts w:ascii="仿宋" w:hAnsi="仿宋" w:eastAsia="仿宋" w:cs="仿宋"/>
          <w:spacing w:val="16"/>
          <w:sz w:val="31"/>
          <w:szCs w:val="31"/>
        </w:rPr>
        <w:t>非财政拨款项目收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入，收入需根据申报及立项实际情况确定，具有不确定性，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此课题数量及资金收入与预算有偏差。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自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月起，我</w:t>
      </w:r>
    </w:p>
    <w:p>
      <w:pPr>
        <w:spacing w:line="227" w:lineRule="auto"/>
        <w:ind w:left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院不再有非财政拨款课题费项目。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36" w:type="default"/>
          <w:pgSz w:w="11906" w:h="16839"/>
          <w:pgMar w:top="1431" w:right="1531" w:bottom="1188" w:left="1552" w:header="0" w:footer="1023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line="10041" w:lineRule="exact"/>
      </w:pPr>
      <w:r>
        <w:rPr>
          <w:position w:val="-200"/>
        </w:rPr>
        <w:drawing>
          <wp:inline distT="0" distB="0" distL="0" distR="0">
            <wp:extent cx="5615940" cy="637603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3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spacing w:before="101" w:line="345" w:lineRule="auto"/>
        <w:ind w:left="20" w:firstLine="64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（五）委托班次培训费自评综述：根据年初设定的绩效目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标，委托班次培训费项目绩效自评得分为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100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分（绩效自评表</w:t>
      </w:r>
    </w:p>
    <w:p>
      <w:pPr>
        <w:spacing w:line="227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附后）。全年年初预算数为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50.4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万元，预算调整数为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40.11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37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9" w:lineRule="auto"/>
      </w:pPr>
    </w:p>
    <w:p>
      <w:pPr>
        <w:spacing w:before="101" w:line="345" w:lineRule="auto"/>
        <w:ind w:right="81" w:firstLine="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元，执行数为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40.11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79.59%。项目绩效目标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完成情况：通过项目实施，年初设定的绩效目标指标基本完成。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因我院委托班次培训费项目非财政拨款项目，实际收入具有不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确定性。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同时受新冠疫情影响，委托培训班次减少。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自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</w:t>
      </w:r>
    </w:p>
    <w:p>
      <w:pPr>
        <w:spacing w:before="1" w:line="227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10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月起，我院不再承接委托培训班次培训，以后不再有此项目。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38" w:type="default"/>
          <w:pgSz w:w="11906" w:h="16839"/>
          <w:pgMar w:top="1431" w:right="1381" w:bottom="1188" w:left="1553" w:header="0" w:footer="1023" w:gutter="0"/>
          <w:cols w:space="720" w:num="1"/>
        </w:sectPr>
      </w:pP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spacing w:line="10260" w:lineRule="exact"/>
      </w:pPr>
      <w:r>
        <w:rPr>
          <w:position w:val="-205"/>
        </w:rPr>
        <w:drawing>
          <wp:inline distT="0" distB="0" distL="0" distR="0">
            <wp:extent cx="5614035" cy="65151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260" w:lineRule="exact"/>
        <w:sectPr>
          <w:footerReference r:id="rId39" w:type="default"/>
          <w:pgSz w:w="11906" w:h="16839"/>
          <w:pgMar w:top="1431" w:right="1533" w:bottom="1188" w:left="1531" w:header="0" w:footer="1023" w:gutter="0"/>
          <w:cols w:space="720" w:num="1"/>
        </w:sectPr>
      </w:pPr>
    </w:p>
    <w:p>
      <w:pPr>
        <w:pStyle w:val="2"/>
        <w:spacing w:line="351" w:lineRule="auto"/>
      </w:pPr>
    </w:p>
    <w:p>
      <w:pPr>
        <w:pStyle w:val="2"/>
        <w:spacing w:line="351" w:lineRule="auto"/>
      </w:pPr>
    </w:p>
    <w:p>
      <w:pPr>
        <w:spacing w:before="101" w:line="345" w:lineRule="auto"/>
        <w:ind w:firstLine="65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（六）委托班次培训费（结余支出）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自评综述：根据预算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调整申报项目时设定的绩效目标指标，委托班次培训费（</w:t>
      </w:r>
      <w:r>
        <w:rPr>
          <w:rFonts w:ascii="仿宋" w:hAnsi="仿宋" w:eastAsia="仿宋" w:cs="仿宋"/>
          <w:spacing w:val="16"/>
          <w:sz w:val="31"/>
          <w:szCs w:val="31"/>
        </w:rPr>
        <w:t>结余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支出）项目绩效自评得分为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99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分（绩效自评表附后）。委托班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次培训费（结余支出）预算调整数为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50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万元，实际支出执行数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29.45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万元，完成预算调整数的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58.9%。项目绩效目标完成情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况：通过项目实施，项目设定的绩效目标指标基本完</w:t>
      </w:r>
      <w:r>
        <w:rPr>
          <w:rFonts w:ascii="仿宋" w:hAnsi="仿宋" w:eastAsia="仿宋" w:cs="仿宋"/>
          <w:spacing w:val="16"/>
          <w:sz w:val="31"/>
          <w:szCs w:val="31"/>
        </w:rPr>
        <w:t>成。此项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目为非财政拨款累计结余资金弥补主体班培训费支出不足</w:t>
      </w:r>
      <w:r>
        <w:rPr>
          <w:rFonts w:ascii="仿宋" w:hAnsi="仿宋" w:eastAsia="仿宋" w:cs="仿宋"/>
          <w:spacing w:val="16"/>
          <w:sz w:val="31"/>
          <w:szCs w:val="31"/>
        </w:rPr>
        <w:t>而增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加的调整预算项目，支出具有不确定性，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因此实际支出数与预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算数有偏差。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以后我院将根据实际情况进一步合理预测支出情</w:t>
      </w:r>
    </w:p>
    <w:p>
      <w:pPr>
        <w:spacing w:before="1" w:line="229" w:lineRule="auto"/>
        <w:ind w:left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况。</w:t>
      </w:r>
    </w:p>
    <w:p>
      <w:pPr>
        <w:spacing w:line="229" w:lineRule="auto"/>
        <w:rPr>
          <w:rFonts w:ascii="仿宋" w:hAnsi="仿宋" w:eastAsia="仿宋" w:cs="仿宋"/>
          <w:sz w:val="31"/>
          <w:szCs w:val="31"/>
        </w:rPr>
        <w:sectPr>
          <w:footerReference r:id="rId40" w:type="default"/>
          <w:pgSz w:w="11906" w:h="16839"/>
          <w:pgMar w:top="1431" w:right="1530" w:bottom="1188" w:left="1546" w:header="0" w:footer="1023" w:gutter="0"/>
          <w:cols w:space="720" w:num="1"/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spacing w:line="10320" w:lineRule="exact"/>
      </w:pPr>
      <w:r>
        <w:rPr>
          <w:position w:val="-206"/>
        </w:rPr>
        <w:drawing>
          <wp:inline distT="0" distB="0" distL="0" distR="0">
            <wp:extent cx="5615940" cy="655320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6" w:line="227" w:lineRule="auto"/>
        <w:ind w:left="7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七、机关运行经费情况</w:t>
      </w:r>
    </w:p>
    <w:p>
      <w:pPr>
        <w:spacing w:before="197" w:line="581" w:lineRule="exact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position w:val="19"/>
          <w:sz w:val="31"/>
          <w:szCs w:val="31"/>
        </w:rPr>
        <w:t>本单位</w:t>
      </w:r>
      <w:r>
        <w:rPr>
          <w:rFonts w:ascii="仿宋" w:hAnsi="仿宋" w:eastAsia="仿宋" w:cs="仿宋"/>
          <w:spacing w:val="-37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2021</w:t>
      </w:r>
      <w:r>
        <w:rPr>
          <w:rFonts w:ascii="仿宋" w:hAnsi="仿宋" w:eastAsia="仿宋" w:cs="仿宋"/>
          <w:spacing w:val="-38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年度机关运行经费支出</w:t>
      </w:r>
      <w:r>
        <w:rPr>
          <w:rFonts w:ascii="仿宋" w:hAnsi="仿宋" w:eastAsia="仿宋" w:cs="仿宋"/>
          <w:spacing w:val="-49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万元，</w:t>
      </w:r>
      <w:r>
        <w:rPr>
          <w:rFonts w:ascii="仿宋" w:hAnsi="仿宋" w:eastAsia="仿宋" w:cs="仿宋"/>
          <w:spacing w:val="-81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比</w:t>
      </w:r>
      <w:r>
        <w:rPr>
          <w:rFonts w:ascii="仿宋" w:hAnsi="仿宋" w:eastAsia="仿宋" w:cs="仿宋"/>
          <w:spacing w:val="-49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2020</w:t>
      </w:r>
      <w:r>
        <w:rPr>
          <w:rFonts w:ascii="仿宋" w:hAnsi="仿宋" w:eastAsia="仿宋" w:cs="仿宋"/>
          <w:spacing w:val="-37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9"/>
          <w:sz w:val="31"/>
          <w:szCs w:val="31"/>
        </w:rPr>
        <w:t>年度</w:t>
      </w:r>
    </w:p>
    <w:p>
      <w:pPr>
        <w:spacing w:before="1" w:line="227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增加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万元，增长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0%，与上年持平，无增减变化。主要原因是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41" w:type="default"/>
          <w:pgSz w:w="11906" w:h="16839"/>
          <w:pgMar w:top="1431" w:right="1530" w:bottom="1188" w:left="1531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578" w:lineRule="exact"/>
        <w:ind w:left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19"/>
          <w:sz w:val="31"/>
          <w:szCs w:val="31"/>
        </w:rPr>
        <w:t>我院为事业单位，无机关运行经费支出。</w:t>
      </w:r>
    </w:p>
    <w:p>
      <w:pPr>
        <w:spacing w:line="228" w:lineRule="auto"/>
        <w:ind w:left="64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八、政府采购情况</w:t>
      </w:r>
    </w:p>
    <w:p>
      <w:pPr>
        <w:spacing w:before="194" w:line="346" w:lineRule="auto"/>
        <w:ind w:left="5" w:right="204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本单位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年度政府采购支出总额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385.33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万元，从采购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类型来看，政府采购货物支出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8.28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万元、政府采购工程支出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374.03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万元、政府采购服务支出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3.</w:t>
      </w:r>
      <w:r>
        <w:rPr>
          <w:rFonts w:ascii="仿宋" w:hAnsi="仿宋" w:eastAsia="仿宋" w:cs="仿宋"/>
          <w:spacing w:val="5"/>
          <w:sz w:val="31"/>
          <w:szCs w:val="31"/>
        </w:rPr>
        <w:t>03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万元。授予中小企业合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同金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378.56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占政府采购支出总额的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98.24%，其中授予</w:t>
      </w:r>
    </w:p>
    <w:p>
      <w:pPr>
        <w:spacing w:before="1" w:line="227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小微企业合同金额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378.35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占政府采购支出总额的</w:t>
      </w:r>
    </w:p>
    <w:p>
      <w:pPr>
        <w:spacing w:before="195" w:line="24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98.19%。</w:t>
      </w:r>
    </w:p>
    <w:p>
      <w:pPr>
        <w:spacing w:before="175" w:line="227" w:lineRule="auto"/>
        <w:ind w:left="64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九、国有资产占用情况</w:t>
      </w:r>
    </w:p>
    <w:p>
      <w:pPr>
        <w:spacing w:before="202" w:line="345" w:lineRule="auto"/>
        <w:ind w:left="7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截至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2021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年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月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31 日，本单位共有车辆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辆</w:t>
      </w:r>
      <w:r>
        <w:rPr>
          <w:rFonts w:ascii="仿宋" w:hAnsi="仿宋" w:eastAsia="仿宋" w:cs="仿宋"/>
          <w:spacing w:val="-4"/>
          <w:sz w:val="31"/>
          <w:szCs w:val="31"/>
        </w:rPr>
        <w:t>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比上年增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加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辆，与上年持平，无增减变化。其中，</w:t>
      </w:r>
      <w:r>
        <w:rPr>
          <w:rFonts w:ascii="仿宋" w:hAnsi="仿宋" w:eastAsia="仿宋" w:cs="仿宋"/>
          <w:spacing w:val="14"/>
          <w:sz w:val="31"/>
          <w:szCs w:val="31"/>
        </w:rPr>
        <w:t>副部（省）级及以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上领导用车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主要领导干部用车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，机要通信用车 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辆，应急保障用车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辆，执法执勤用车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辆，特种专业技术用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车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辆，离退休干部用车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辆，其他用车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辆，其他用车主要</w:t>
      </w:r>
    </w:p>
    <w:p>
      <w:pPr>
        <w:spacing w:before="1" w:line="227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是0；</w:t>
      </w:r>
    </w:p>
    <w:p>
      <w:pPr>
        <w:spacing w:before="200" w:line="345" w:lineRule="auto"/>
        <w:ind w:left="8" w:right="1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单位价值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50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万元以上通用设备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 台（套</w:t>
      </w:r>
      <w:r>
        <w:rPr>
          <w:rFonts w:ascii="仿宋" w:hAnsi="仿宋" w:eastAsia="仿宋" w:cs="仿宋"/>
          <w:spacing w:val="-21"/>
          <w:sz w:val="31"/>
          <w:szCs w:val="31"/>
        </w:rPr>
        <w:t>）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1"/>
          <w:sz w:val="31"/>
          <w:szCs w:val="31"/>
        </w:rPr>
        <w:t>，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比上年增加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套，与上年持平，无增减变化，单位价值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100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万元以上专用设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备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 台（套）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比上年增加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套，主要是与上年持平，无增减变</w:t>
      </w:r>
    </w:p>
    <w:p>
      <w:pPr>
        <w:spacing w:before="2" w:line="227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化。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42" w:type="default"/>
          <w:pgSz w:w="11906" w:h="16839"/>
          <w:pgMar w:top="1431" w:right="1531" w:bottom="1188" w:left="1543" w:header="0" w:footer="1023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101" w:line="226" w:lineRule="auto"/>
        <w:ind w:left="63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十、其他需要说明的情况</w:t>
      </w:r>
    </w:p>
    <w:p>
      <w:pPr>
        <w:spacing w:before="200" w:line="345" w:lineRule="auto"/>
        <w:ind w:left="4" w:right="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1. 本单位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2021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年度政府性基金预算及国有资本经营预算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无收支及结转结余情况，故《政府性基金预算财政拨款收入支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出决算表》（公开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08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表）及《国有资本经</w:t>
      </w:r>
      <w:r>
        <w:rPr>
          <w:rFonts w:ascii="仿宋" w:hAnsi="仿宋" w:eastAsia="仿宋" w:cs="仿宋"/>
          <w:spacing w:val="8"/>
          <w:sz w:val="31"/>
          <w:szCs w:val="31"/>
        </w:rPr>
        <w:t>营预算财政拨款支出</w:t>
      </w:r>
    </w:p>
    <w:p>
      <w:pPr>
        <w:spacing w:line="227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决算表》（公开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09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表）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以空表列示。</w:t>
      </w:r>
    </w:p>
    <w:p>
      <w:pPr>
        <w:spacing w:before="200" w:line="345" w:lineRule="auto"/>
        <w:ind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由于决算公开表格中金额数值应当保留两位小数，公开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数据为四舍五入计算结果，个别数据合计项与</w:t>
      </w:r>
      <w:r>
        <w:rPr>
          <w:rFonts w:ascii="仿宋" w:hAnsi="仿宋" w:eastAsia="仿宋" w:cs="仿宋"/>
          <w:spacing w:val="16"/>
          <w:sz w:val="31"/>
          <w:szCs w:val="31"/>
        </w:rPr>
        <w:t>分项之和存在小</w:t>
      </w:r>
    </w:p>
    <w:p>
      <w:pPr>
        <w:spacing w:line="228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数点后差额，特此说明。</w:t>
      </w:r>
    </w:p>
    <w:p>
      <w:pPr>
        <w:spacing w:line="228" w:lineRule="auto"/>
        <w:rPr>
          <w:rFonts w:ascii="仿宋" w:hAnsi="仿宋" w:eastAsia="仿宋" w:cs="仿宋"/>
          <w:sz w:val="31"/>
          <w:szCs w:val="31"/>
        </w:rPr>
        <w:sectPr>
          <w:footerReference r:id="rId43" w:type="default"/>
          <w:pgSz w:w="11906" w:h="16839"/>
          <w:pgMar w:top="1431" w:right="1531" w:bottom="1188" w:left="1551" w:header="0" w:footer="1023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1008" w:lineRule="exact"/>
        <w:ind w:firstLine="700"/>
      </w:pPr>
      <w:r>
        <w:rPr>
          <w:position w:val="-20"/>
        </w:rPr>
        <w:drawing>
          <wp:inline distT="0" distB="0" distL="0" distR="0">
            <wp:extent cx="640080" cy="6400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8" w:lineRule="auto"/>
      </w:pPr>
    </w:p>
    <w:p>
      <w:pPr>
        <w:spacing w:before="139" w:line="225" w:lineRule="auto"/>
        <w:ind w:left="1874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7"/>
          <w:sz w:val="43"/>
          <w:szCs w:val="43"/>
        </w:rPr>
        <w:t>第四部分 相关名词解释</w:t>
      </w:r>
    </w:p>
    <w:p>
      <w:pPr>
        <w:spacing w:line="225" w:lineRule="auto"/>
        <w:rPr>
          <w:rFonts w:ascii="黑体" w:hAnsi="黑体" w:eastAsia="黑体" w:cs="黑体"/>
          <w:sz w:val="43"/>
          <w:szCs w:val="43"/>
        </w:rPr>
        <w:sectPr>
          <w:footerReference r:id="rId44" w:type="default"/>
          <w:pgSz w:w="11906" w:h="16839"/>
          <w:pgMar w:top="1431" w:right="1785" w:bottom="1188" w:left="1785" w:header="0" w:footer="1023" w:gutter="0"/>
          <w:cols w:space="720" w:num="1"/>
        </w:sectPr>
      </w:pPr>
    </w:p>
    <w:p>
      <w:pPr>
        <w:pStyle w:val="2"/>
        <w:spacing w:line="339" w:lineRule="auto"/>
      </w:pPr>
    </w:p>
    <w:p>
      <w:pPr>
        <w:pStyle w:val="2"/>
        <w:spacing w:line="339" w:lineRule="auto"/>
      </w:pPr>
    </w:p>
    <w:p>
      <w:pPr>
        <w:spacing w:before="101" w:line="334" w:lineRule="auto"/>
        <w:ind w:left="28" w:right="150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（一）财政拨款收入：</w:t>
      </w:r>
      <w:r>
        <w:rPr>
          <w:rFonts w:ascii="仿宋" w:hAnsi="仿宋" w:eastAsia="仿宋" w:cs="仿宋"/>
          <w:spacing w:val="17"/>
          <w:sz w:val="31"/>
          <w:szCs w:val="31"/>
        </w:rPr>
        <w:t>本年度从本级财政部门取得的财政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拨款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，包括一般公共预算财政拨款和政府性基</w:t>
      </w:r>
      <w:r>
        <w:rPr>
          <w:rFonts w:ascii="仿宋" w:hAnsi="仿宋" w:eastAsia="仿宋" w:cs="仿宋"/>
          <w:spacing w:val="26"/>
          <w:sz w:val="31"/>
          <w:szCs w:val="31"/>
        </w:rPr>
        <w:t>金预算财政拨</w:t>
      </w:r>
    </w:p>
    <w:p>
      <w:pPr>
        <w:spacing w:line="228" w:lineRule="auto"/>
        <w:ind w:left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款。</w:t>
      </w:r>
    </w:p>
    <w:p>
      <w:pPr>
        <w:spacing w:before="175" w:line="559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（二）事业收入：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指事业单位开展专业业务活动及辅助活</w:t>
      </w:r>
    </w:p>
    <w:p>
      <w:pPr>
        <w:spacing w:before="1" w:line="227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动所取得的收入。</w:t>
      </w:r>
    </w:p>
    <w:p>
      <w:pPr>
        <w:spacing w:before="179" w:line="559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</w:t>
      </w:r>
      <w:r>
        <w:rPr>
          <w:rFonts w:ascii="仿宋" w:hAnsi="仿宋" w:eastAsia="仿宋" w:cs="仿宋"/>
          <w:spacing w:val="-64"/>
          <w:position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其他收入：</w:t>
      </w:r>
      <w:r>
        <w:rPr>
          <w:rFonts w:ascii="仿宋" w:hAnsi="仿宋" w:eastAsia="仿宋" w:cs="仿宋"/>
          <w:spacing w:val="-77"/>
          <w:position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17"/>
          <w:sz w:val="31"/>
          <w:szCs w:val="31"/>
        </w:rPr>
        <w:t>指除上述“</w:t>
      </w:r>
      <w:r>
        <w:rPr>
          <w:rFonts w:ascii="仿宋" w:hAnsi="仿宋" w:eastAsia="仿宋" w:cs="仿宋"/>
          <w:spacing w:val="-108"/>
          <w:position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17"/>
          <w:sz w:val="31"/>
          <w:szCs w:val="31"/>
        </w:rPr>
        <w:t>财政拨款收入</w:t>
      </w:r>
      <w:r>
        <w:rPr>
          <w:rFonts w:ascii="仿宋" w:hAnsi="仿宋" w:eastAsia="仿宋" w:cs="仿宋"/>
          <w:spacing w:val="-86"/>
          <w:position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17"/>
          <w:sz w:val="31"/>
          <w:szCs w:val="31"/>
        </w:rPr>
        <w:t>”“</w:t>
      </w:r>
      <w:r>
        <w:rPr>
          <w:rFonts w:ascii="仿宋" w:hAnsi="仿宋" w:eastAsia="仿宋" w:cs="仿宋"/>
          <w:spacing w:val="-112"/>
          <w:position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17"/>
          <w:sz w:val="31"/>
          <w:szCs w:val="31"/>
        </w:rPr>
        <w:t>事业收</w:t>
      </w:r>
    </w:p>
    <w:p>
      <w:pPr>
        <w:spacing w:before="1" w:line="228" w:lineRule="auto"/>
        <w:ind w:left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入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”“经营收入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”等以外的收入。</w:t>
      </w:r>
    </w:p>
    <w:p>
      <w:pPr>
        <w:spacing w:before="172" w:line="334" w:lineRule="auto"/>
        <w:ind w:firstLine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（四）用事业基金弥补收支差额：</w:t>
      </w:r>
      <w:r>
        <w:rPr>
          <w:rFonts w:ascii="仿宋" w:hAnsi="仿宋" w:eastAsia="仿宋" w:cs="仿宋"/>
          <w:spacing w:val="17"/>
          <w:sz w:val="31"/>
          <w:szCs w:val="31"/>
        </w:rPr>
        <w:t>指事业单位在用当年的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8"/>
          <w:sz w:val="31"/>
          <w:szCs w:val="31"/>
        </w:rPr>
        <w:t>“财政拨款收入</w:t>
      </w:r>
      <w:r>
        <w:rPr>
          <w:rFonts w:ascii="仿宋" w:hAnsi="仿宋" w:eastAsia="仿宋" w:cs="仿宋"/>
          <w:spacing w:val="-10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”“财政拨款结转和结余资</w:t>
      </w:r>
      <w:r>
        <w:rPr>
          <w:rFonts w:ascii="仿宋" w:hAnsi="仿宋" w:eastAsia="仿宋" w:cs="仿宋"/>
          <w:spacing w:val="17"/>
          <w:sz w:val="31"/>
          <w:szCs w:val="31"/>
        </w:rPr>
        <w:t>金</w:t>
      </w:r>
      <w:r>
        <w:rPr>
          <w:rFonts w:ascii="仿宋" w:hAnsi="仿宋" w:eastAsia="仿宋" w:cs="仿宋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”“事业收入</w:t>
      </w:r>
      <w:r>
        <w:rPr>
          <w:rFonts w:ascii="仿宋" w:hAnsi="仿宋" w:eastAsia="仿宋" w:cs="仿宋"/>
          <w:spacing w:val="-10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“经营收入</w:t>
      </w:r>
      <w:r>
        <w:rPr>
          <w:rFonts w:ascii="仿宋" w:hAnsi="仿宋" w:eastAsia="仿宋" w:cs="仿宋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”“其他收入</w:t>
      </w:r>
      <w:r>
        <w:rPr>
          <w:rFonts w:ascii="仿宋" w:hAnsi="仿宋" w:eastAsia="仿宋" w:cs="仿宋"/>
          <w:spacing w:val="-10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”不足以安排当年支出的情况下</w:t>
      </w:r>
      <w:r>
        <w:rPr>
          <w:rFonts w:ascii="仿宋" w:hAnsi="仿宋" w:eastAsia="仿宋" w:cs="仿宋"/>
          <w:spacing w:val="13"/>
          <w:sz w:val="31"/>
          <w:szCs w:val="31"/>
        </w:rPr>
        <w:t>，使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8"/>
          <w:sz w:val="31"/>
          <w:szCs w:val="31"/>
        </w:rPr>
        <w:t>用以前年度积累的事业基金（事业单位当年收支</w:t>
      </w:r>
      <w:r>
        <w:rPr>
          <w:rFonts w:ascii="仿宋" w:hAnsi="仿宋" w:eastAsia="仿宋" w:cs="仿宋"/>
          <w:spacing w:val="17"/>
          <w:sz w:val="31"/>
          <w:szCs w:val="31"/>
        </w:rPr>
        <w:t>相抵后按国家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8"/>
          <w:sz w:val="31"/>
          <w:szCs w:val="31"/>
        </w:rPr>
        <w:t>规定提取、用于弥补以后年度收支差额的基金）</w:t>
      </w:r>
      <w:r>
        <w:rPr>
          <w:rFonts w:ascii="仿宋" w:hAnsi="仿宋" w:eastAsia="仿宋" w:cs="仿宋"/>
          <w:spacing w:val="17"/>
          <w:sz w:val="31"/>
          <w:szCs w:val="31"/>
        </w:rPr>
        <w:t>弥补本年度收</w:t>
      </w:r>
    </w:p>
    <w:p>
      <w:pPr>
        <w:spacing w:before="1" w:line="229" w:lineRule="auto"/>
        <w:ind w:left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支缺口的资金。</w:t>
      </w:r>
    </w:p>
    <w:p>
      <w:pPr>
        <w:spacing w:before="173" w:line="334" w:lineRule="auto"/>
        <w:ind w:left="35" w:right="150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（五）年初结转和结余：</w:t>
      </w:r>
      <w:r>
        <w:rPr>
          <w:rFonts w:ascii="仿宋" w:hAnsi="仿宋" w:eastAsia="仿宋" w:cs="仿宋"/>
          <w:spacing w:val="17"/>
          <w:sz w:val="31"/>
          <w:szCs w:val="31"/>
        </w:rPr>
        <w:t>指以前年度尚未完成、结转到本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年仍按原规定用途继续使用的资金，或项目已完成等产生的结</w:t>
      </w:r>
    </w:p>
    <w:p>
      <w:pPr>
        <w:spacing w:before="1" w:line="228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余资金。</w:t>
      </w:r>
    </w:p>
    <w:p>
      <w:pPr>
        <w:spacing w:before="175" w:line="562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（六）结余分配：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指事业单位按照事业单位会计制度的规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定从非财政补助结余中分配的事业基金和职工福利基金等。</w:t>
      </w:r>
    </w:p>
    <w:p>
      <w:pPr>
        <w:spacing w:before="178" w:line="559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（七）年末结转和结余：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指单位按有关规定结转到下年或</w:t>
      </w:r>
    </w:p>
    <w:p>
      <w:pPr>
        <w:spacing w:before="1" w:line="227" w:lineRule="auto"/>
        <w:ind w:left="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以后年度继续使用的资金，或项目已完成等产生的结余资金。</w:t>
      </w:r>
    </w:p>
    <w:p>
      <w:pPr>
        <w:spacing w:before="180" w:line="559" w:lineRule="exact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（八）基本支出：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填列单位为保障机构正常运转、完成日</w:t>
      </w:r>
    </w:p>
    <w:p>
      <w:pPr>
        <w:spacing w:before="1" w:line="225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常工作任务而发生的各项支出。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45" w:type="default"/>
          <w:pgSz w:w="11906" w:h="16839"/>
          <w:pgMar w:top="1431" w:right="1378" w:bottom="1188" w:left="1523" w:header="0" w:footer="1023" w:gutter="0"/>
          <w:cols w:space="720" w:num="1"/>
        </w:sectPr>
      </w:pPr>
    </w:p>
    <w:p>
      <w:pPr>
        <w:pStyle w:val="2"/>
        <w:spacing w:line="339" w:lineRule="auto"/>
      </w:pPr>
    </w:p>
    <w:p>
      <w:pPr>
        <w:pStyle w:val="2"/>
        <w:spacing w:line="340" w:lineRule="auto"/>
      </w:pPr>
    </w:p>
    <w:p>
      <w:pPr>
        <w:spacing w:before="101" w:line="559" w:lineRule="exact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（九）项目支出：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填列单位为完成特定的行政工作任务或</w:t>
      </w:r>
    </w:p>
    <w:p>
      <w:pPr>
        <w:spacing w:before="1" w:line="224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事业发展目标，在基本支出之外发生的各项</w:t>
      </w:r>
      <w:r>
        <w:rPr>
          <w:rFonts w:ascii="仿宋" w:hAnsi="仿宋" w:eastAsia="仿宋" w:cs="仿宋"/>
          <w:spacing w:val="8"/>
          <w:sz w:val="31"/>
          <w:szCs w:val="31"/>
        </w:rPr>
        <w:t>支出</w:t>
      </w:r>
    </w:p>
    <w:p>
      <w:pPr>
        <w:spacing w:before="186" w:line="333" w:lineRule="auto"/>
        <w:ind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（十）基本建设支出：</w:t>
      </w:r>
      <w:r>
        <w:rPr>
          <w:rFonts w:ascii="仿宋" w:hAnsi="仿宋" w:eastAsia="仿宋" w:cs="仿宋"/>
          <w:spacing w:val="17"/>
          <w:sz w:val="31"/>
          <w:szCs w:val="31"/>
        </w:rPr>
        <w:t>填列由本级发展与改革部门集中安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排的用于购置固定资产、战略性和应急性储备、土地</w:t>
      </w:r>
      <w:r>
        <w:rPr>
          <w:rFonts w:ascii="仿宋" w:hAnsi="仿宋" w:eastAsia="仿宋" w:cs="仿宋"/>
          <w:spacing w:val="16"/>
          <w:sz w:val="31"/>
          <w:szCs w:val="31"/>
        </w:rPr>
        <w:t>和无形资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产，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以及购建基础设施、大型修缮所发生的一般公共预算财政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拨款支出，不包括政府性基金、财政专户管理资金以</w:t>
      </w:r>
      <w:r>
        <w:rPr>
          <w:rFonts w:ascii="仿宋" w:hAnsi="仿宋" w:eastAsia="仿宋" w:cs="仿宋"/>
          <w:spacing w:val="16"/>
          <w:sz w:val="31"/>
          <w:szCs w:val="31"/>
        </w:rPr>
        <w:t>及各类拼</w:t>
      </w:r>
    </w:p>
    <w:p>
      <w:pPr>
        <w:spacing w:line="229" w:lineRule="auto"/>
        <w:ind w:left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盘自筹资金等。</w:t>
      </w:r>
    </w:p>
    <w:p>
      <w:pPr>
        <w:spacing w:before="176" w:line="333" w:lineRule="auto"/>
        <w:ind w:left="4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（十一）其他资本性支出：</w:t>
      </w:r>
      <w:r>
        <w:rPr>
          <w:rFonts w:ascii="仿宋" w:hAnsi="仿宋" w:eastAsia="仿宋" w:cs="仿宋"/>
          <w:spacing w:val="17"/>
          <w:sz w:val="31"/>
          <w:szCs w:val="31"/>
        </w:rPr>
        <w:t>填列由各级非发展与改革部门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集中安排的用于购置固定资产、战备性和应急性储备、土地和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无形资产，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以及购建基础设施、大型修缮和财政支持企业更新</w:t>
      </w:r>
    </w:p>
    <w:p>
      <w:pPr>
        <w:spacing w:before="2" w:line="227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改造所发生的支出。</w:t>
      </w:r>
    </w:p>
    <w:p>
      <w:pPr>
        <w:spacing w:before="184" w:line="333" w:lineRule="auto"/>
        <w:ind w:left="3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（十二）</w:t>
      </w:r>
      <w:r>
        <w:rPr>
          <w:rFonts w:ascii="仿宋" w:hAnsi="仿宋" w:eastAsia="仿宋" w:cs="仿宋"/>
          <w:spacing w:val="-1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三公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”经费：</w:t>
      </w:r>
      <w:r>
        <w:rPr>
          <w:rFonts w:ascii="仿宋" w:hAnsi="仿宋" w:eastAsia="仿宋" w:cs="仿宋"/>
          <w:spacing w:val="12"/>
          <w:sz w:val="31"/>
          <w:szCs w:val="31"/>
        </w:rPr>
        <w:t>指部门用财政拨款安排的因公出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国（境）费、公务用车购置及运行费和公务接待费。其中，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公出国（境）费反映单位公务出国（境）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的国际旅费、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国外城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市间交通费、住宿费、伙食费、培训费、公</w:t>
      </w:r>
      <w:r>
        <w:rPr>
          <w:rFonts w:ascii="仿宋" w:hAnsi="仿宋" w:eastAsia="仿宋" w:cs="仿宋"/>
          <w:spacing w:val="16"/>
          <w:sz w:val="31"/>
          <w:szCs w:val="31"/>
        </w:rPr>
        <w:t>杂费等支出；公务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用车购置及运行费反映单位公务用车购置支出（含车辆购置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税、牌照费）及按规定保留的公务用车燃料</w:t>
      </w:r>
      <w:r>
        <w:rPr>
          <w:rFonts w:ascii="仿宋" w:hAnsi="仿宋" w:eastAsia="仿宋" w:cs="仿宋"/>
          <w:spacing w:val="16"/>
          <w:sz w:val="31"/>
          <w:szCs w:val="31"/>
        </w:rPr>
        <w:t>费、维修费、过桥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过路费、保险费、安全奖励费用等支出；公</w:t>
      </w:r>
      <w:r>
        <w:rPr>
          <w:rFonts w:ascii="仿宋" w:hAnsi="仿宋" w:eastAsia="仿宋" w:cs="仿宋"/>
          <w:spacing w:val="16"/>
          <w:sz w:val="31"/>
          <w:szCs w:val="31"/>
        </w:rPr>
        <w:t>务接待费反映单位</w:t>
      </w:r>
    </w:p>
    <w:p>
      <w:pPr>
        <w:spacing w:line="227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按规定开支的各类公务接待（含外宾接待）支出。</w:t>
      </w:r>
    </w:p>
    <w:p>
      <w:pPr>
        <w:spacing w:before="177" w:line="334" w:lineRule="auto"/>
        <w:ind w:left="36" w:firstLine="6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（十三）其他交通费用：</w:t>
      </w:r>
      <w:r>
        <w:rPr>
          <w:rFonts w:ascii="仿宋" w:hAnsi="仿宋" w:eastAsia="仿宋" w:cs="仿宋"/>
          <w:spacing w:val="17"/>
          <w:sz w:val="31"/>
          <w:szCs w:val="31"/>
        </w:rPr>
        <w:t>填列单位除公务用车运行维护费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以外的其他交通费用。如公务交通补贴、租车费用、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出租</w:t>
      </w:r>
      <w:r>
        <w:rPr>
          <w:rFonts w:ascii="仿宋" w:hAnsi="仿宋" w:eastAsia="仿宋" w:cs="仿宋"/>
          <w:spacing w:val="12"/>
          <w:sz w:val="31"/>
          <w:szCs w:val="31"/>
        </w:rPr>
        <w:t>车费</w:t>
      </w:r>
    </w:p>
    <w:p>
      <w:pPr>
        <w:spacing w:before="1" w:line="225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用，飞机、船舶等燃料费、维修费、保险费等。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46" w:type="default"/>
          <w:pgSz w:w="11906" w:h="16839"/>
          <w:pgMar w:top="1431" w:right="1528" w:bottom="1187" w:left="1548" w:header="0" w:footer="1023" w:gutter="0"/>
          <w:cols w:space="720" w:num="1"/>
        </w:sectPr>
      </w:pPr>
    </w:p>
    <w:p>
      <w:pPr>
        <w:pStyle w:val="2"/>
        <w:spacing w:line="339" w:lineRule="auto"/>
      </w:pPr>
    </w:p>
    <w:p>
      <w:pPr>
        <w:pStyle w:val="2"/>
        <w:spacing w:line="340" w:lineRule="auto"/>
      </w:pPr>
    </w:p>
    <w:p>
      <w:pPr>
        <w:spacing w:before="101" w:line="559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（十四）公务用车购置：</w:t>
      </w:r>
      <w:r>
        <w:rPr>
          <w:rFonts w:ascii="仿宋" w:hAnsi="仿宋" w:eastAsia="仿宋" w:cs="仿宋"/>
          <w:spacing w:val="17"/>
          <w:position w:val="18"/>
          <w:sz w:val="31"/>
          <w:szCs w:val="31"/>
        </w:rPr>
        <w:t>填列单位公务用车车辆购置支出</w:t>
      </w:r>
    </w:p>
    <w:p>
      <w:pPr>
        <w:spacing w:before="1" w:line="224" w:lineRule="auto"/>
        <w:ind w:left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（含车辆购置税、牌照费）。</w:t>
      </w:r>
    </w:p>
    <w:p>
      <w:pPr>
        <w:spacing w:before="183" w:line="333" w:lineRule="auto"/>
        <w:ind w:left="2" w:right="2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（十五）其他交通工具购置：</w:t>
      </w:r>
      <w:r>
        <w:rPr>
          <w:rFonts w:ascii="仿宋" w:hAnsi="仿宋" w:eastAsia="仿宋" w:cs="仿宋"/>
          <w:spacing w:val="17"/>
          <w:sz w:val="31"/>
          <w:szCs w:val="31"/>
        </w:rPr>
        <w:t>填列单位除公务用车外的其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他各类交通工具（如船舶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、飞机等）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购置支出（</w:t>
      </w:r>
      <w:r>
        <w:rPr>
          <w:rFonts w:ascii="仿宋" w:hAnsi="仿宋" w:eastAsia="仿宋" w:cs="仿宋"/>
          <w:spacing w:val="23"/>
          <w:sz w:val="31"/>
          <w:szCs w:val="31"/>
        </w:rPr>
        <w:t>含车辆购置</w:t>
      </w:r>
    </w:p>
    <w:p>
      <w:pPr>
        <w:spacing w:before="1"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税、牌照费）。</w:t>
      </w:r>
    </w:p>
    <w:p>
      <w:pPr>
        <w:spacing w:before="182" w:line="333" w:lineRule="auto"/>
        <w:ind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（十六）机关运行经费：</w:t>
      </w:r>
      <w:r>
        <w:rPr>
          <w:rFonts w:ascii="仿宋" w:hAnsi="仿宋" w:eastAsia="仿宋" w:cs="仿宋"/>
          <w:spacing w:val="17"/>
          <w:sz w:val="31"/>
          <w:szCs w:val="31"/>
        </w:rPr>
        <w:t>指为保障行政单位（包括参照公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务员法管理的事业单位）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运行用于购买货物和服务的各项资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金，包括办公及印刷费、邮电费、差旅费、会议费</w:t>
      </w:r>
      <w:r>
        <w:rPr>
          <w:rFonts w:ascii="仿宋" w:hAnsi="仿宋" w:eastAsia="仿宋" w:cs="仿宋"/>
          <w:spacing w:val="16"/>
          <w:sz w:val="31"/>
          <w:szCs w:val="31"/>
        </w:rPr>
        <w:t>、福利费、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日常维修费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、专用材料以及一般设备购置费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、办公用房水电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费、办公用房取暖费、办公用房物业管理费</w:t>
      </w:r>
      <w:r>
        <w:rPr>
          <w:rFonts w:ascii="仿宋" w:hAnsi="仿宋" w:eastAsia="仿宋" w:cs="仿宋"/>
          <w:spacing w:val="16"/>
          <w:sz w:val="31"/>
          <w:szCs w:val="31"/>
        </w:rPr>
        <w:t>、公务用车运行维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护费以及其他费用。</w:t>
      </w:r>
    </w:p>
    <w:p>
      <w:pPr>
        <w:spacing w:before="157" w:line="372" w:lineRule="auto"/>
        <w:ind w:left="6" w:right="36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（十七）经费形式:</w:t>
      </w:r>
      <w:r>
        <w:rPr>
          <w:rFonts w:ascii="仿宋" w:hAnsi="仿宋" w:eastAsia="仿宋" w:cs="仿宋"/>
          <w:spacing w:val="9"/>
          <w:sz w:val="31"/>
          <w:szCs w:val="31"/>
        </w:rPr>
        <w:t>按照经费来源，可分为财政拨款、财政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性资金基本保证、财政性资金定额或定项补助、财政性资金零</w:t>
      </w:r>
    </w:p>
    <w:p>
      <w:pPr>
        <w:spacing w:line="227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补助四类。</w:t>
      </w:r>
    </w:p>
    <w:sectPr>
      <w:footerReference r:id="rId47" w:type="default"/>
      <w:pgSz w:w="11906" w:h="16839"/>
      <w:pgMar w:top="1431" w:right="1528" w:bottom="1188" w:left="1551" w:header="0" w:footer="102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8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4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12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2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16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13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19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1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20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21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22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23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24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25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26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27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29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30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1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31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32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1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33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34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35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36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37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1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55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39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4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40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1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41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1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3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3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8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Dc0YmFkZmU2OTgwZjRiYjgzNWQ3NGU3OTYyOTFmNDYifQ=="/>
  </w:docVars>
  <w:rsids>
    <w:rsidRoot w:val="00000000"/>
    <w:rsid w:val="0E0273E5"/>
    <w:rsid w:val="2FC52709"/>
    <w:rsid w:val="44DA5989"/>
    <w:rsid w:val="4A197060"/>
    <w:rsid w:val="50675534"/>
    <w:rsid w:val="76A03E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8" Type="http://schemas.openxmlformats.org/officeDocument/2006/relationships/fontTable" Target="fontTable.xml"/><Relationship Id="rId77" Type="http://schemas.openxmlformats.org/officeDocument/2006/relationships/customXml" Target="../customXml/item1.xml"/><Relationship Id="rId76" Type="http://schemas.openxmlformats.org/officeDocument/2006/relationships/image" Target="media/image28.png"/><Relationship Id="rId75" Type="http://schemas.openxmlformats.org/officeDocument/2006/relationships/image" Target="media/image27.jpeg"/><Relationship Id="rId74" Type="http://schemas.openxmlformats.org/officeDocument/2006/relationships/image" Target="media/image26.jpeg"/><Relationship Id="rId73" Type="http://schemas.openxmlformats.org/officeDocument/2006/relationships/image" Target="media/image25.jpeg"/><Relationship Id="rId72" Type="http://schemas.openxmlformats.org/officeDocument/2006/relationships/image" Target="media/image24.jpeg"/><Relationship Id="rId71" Type="http://schemas.openxmlformats.org/officeDocument/2006/relationships/image" Target="media/image23.jpeg"/><Relationship Id="rId70" Type="http://schemas.openxmlformats.org/officeDocument/2006/relationships/image" Target="media/image22.jpeg"/><Relationship Id="rId7" Type="http://schemas.openxmlformats.org/officeDocument/2006/relationships/footer" Target="footer3.xml"/><Relationship Id="rId69" Type="http://schemas.openxmlformats.org/officeDocument/2006/relationships/image" Target="media/image21.jpeg"/><Relationship Id="rId68" Type="http://schemas.openxmlformats.org/officeDocument/2006/relationships/image" Target="media/image20.jpeg"/><Relationship Id="rId67" Type="http://schemas.openxmlformats.org/officeDocument/2006/relationships/image" Target="media/image19.jpeg"/><Relationship Id="rId66" Type="http://schemas.openxmlformats.org/officeDocument/2006/relationships/image" Target="media/image18.jpeg"/><Relationship Id="rId65" Type="http://schemas.openxmlformats.org/officeDocument/2006/relationships/image" Target="media/image17.jpeg"/><Relationship Id="rId64" Type="http://schemas.openxmlformats.org/officeDocument/2006/relationships/image" Target="media/image16.jpeg"/><Relationship Id="rId63" Type="http://schemas.openxmlformats.org/officeDocument/2006/relationships/image" Target="media/image15.jpeg"/><Relationship Id="rId62" Type="http://schemas.openxmlformats.org/officeDocument/2006/relationships/image" Target="media/image14.jpeg"/><Relationship Id="rId61" Type="http://schemas.openxmlformats.org/officeDocument/2006/relationships/image" Target="media/image13.jpeg"/><Relationship Id="rId60" Type="http://schemas.openxmlformats.org/officeDocument/2006/relationships/image" Target="media/image12.png"/><Relationship Id="rId6" Type="http://schemas.openxmlformats.org/officeDocument/2006/relationships/footer" Target="footer2.xml"/><Relationship Id="rId59" Type="http://schemas.openxmlformats.org/officeDocument/2006/relationships/image" Target="media/image11.jpeg"/><Relationship Id="rId58" Type="http://schemas.openxmlformats.org/officeDocument/2006/relationships/image" Target="media/image10.jpeg"/><Relationship Id="rId57" Type="http://schemas.openxmlformats.org/officeDocument/2006/relationships/image" Target="media/image9.jpeg"/><Relationship Id="rId56" Type="http://schemas.openxmlformats.org/officeDocument/2006/relationships/image" Target="media/image8.jpeg"/><Relationship Id="rId55" Type="http://schemas.openxmlformats.org/officeDocument/2006/relationships/image" Target="media/image7.jpeg"/><Relationship Id="rId54" Type="http://schemas.openxmlformats.org/officeDocument/2006/relationships/image" Target="media/image6.jpeg"/><Relationship Id="rId53" Type="http://schemas.openxmlformats.org/officeDocument/2006/relationships/image" Target="media/image5.jpeg"/><Relationship Id="rId52" Type="http://schemas.openxmlformats.org/officeDocument/2006/relationships/image" Target="media/image4.jpeg"/><Relationship Id="rId51" Type="http://schemas.openxmlformats.org/officeDocument/2006/relationships/image" Target="media/image3.jpeg"/><Relationship Id="rId50" Type="http://schemas.openxmlformats.org/officeDocument/2006/relationships/image" Target="media/image2.png"/><Relationship Id="rId5" Type="http://schemas.openxmlformats.org/officeDocument/2006/relationships/footer" Target="footer1.xml"/><Relationship Id="rId49" Type="http://schemas.openxmlformats.org/officeDocument/2006/relationships/image" Target="media/image1.png"/><Relationship Id="rId48" Type="http://schemas.openxmlformats.org/officeDocument/2006/relationships/theme" Target="theme/theme1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150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2023-09-11T18:17:00Z</dcterms:created>
  <dc:creator>ljh</dc:creator>
  <cp:lastModifiedBy>fanyibing</cp:lastModifiedBy>
  <dcterms:modified xsi:type="dcterms:W3CDTF">2024-01-19T07:03:28Z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2024-01-18T09:06:30Z</vt:filetime>
  </property>
  <property fmtid="{D5CDD505-2E9C-101B-9397-08002B2CF9AE}" pid="4" name="KSOProductBuildVer">
    <vt:lpwstr>2052-12.1.0.16250</vt:lpwstr>
  </property>
  <property fmtid="{D5CDD505-2E9C-101B-9397-08002B2CF9AE}" pid="5" name="ICV">
    <vt:lpwstr>737D3C8F888E44088AA0F940813F5FBA_12</vt:lpwstr>
  </property>
</Properties>
</file>