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640" w:firstLineChars="200"/>
        <w:jc w:val="center"/>
        <w:rPr>
          <w:rFonts w:ascii="Times New Roman" w:hAnsi="Times New Roman" w:eastAsia="方正小标宋_GBK"/>
          <w:sz w:val="32"/>
          <w:szCs w:val="32"/>
        </w:rPr>
      </w:pPr>
    </w:p>
    <w:p>
      <w:pPr>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河北省社会主义学院</w:t>
      </w:r>
    </w:p>
    <w:p>
      <w:pPr>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2017</w:t>
      </w:r>
      <w:r>
        <w:rPr>
          <w:rFonts w:hint="eastAsia" w:ascii="Times New Roman" w:hAnsi="Times New Roman" w:eastAsia="方正小标宋_GBK"/>
          <w:sz w:val="44"/>
          <w:szCs w:val="44"/>
        </w:rPr>
        <w:t>年部门预算信息公开</w:t>
      </w:r>
    </w:p>
    <w:p>
      <w:pPr>
        <w:ind w:firstLine="640" w:firstLineChars="200"/>
        <w:jc w:val="center"/>
        <w:rPr>
          <w:rFonts w:ascii="Times New Roman" w:hAnsi="Times New Roman" w:eastAsia="方正小标宋_GBK"/>
          <w:sz w:val="32"/>
          <w:szCs w:val="32"/>
        </w:rPr>
      </w:pPr>
    </w:p>
    <w:p>
      <w:pPr>
        <w:ind w:firstLine="640" w:firstLineChars="200"/>
        <w:rPr>
          <w:rFonts w:ascii="Times New Roman" w:hAnsi="Times New Roman"/>
          <w:sz w:val="32"/>
          <w:szCs w:val="32"/>
        </w:rPr>
      </w:pPr>
      <w:r>
        <w:rPr>
          <w:rFonts w:hint="eastAsia" w:ascii="宋体" w:hAnsi="宋体" w:cs="宋体"/>
          <w:sz w:val="32"/>
          <w:szCs w:val="32"/>
        </w:rPr>
        <w:t>按照《</w:t>
      </w:r>
      <w:r>
        <w:rPr>
          <w:rFonts w:hint="eastAsia" w:ascii="宋体" w:hAnsi="宋体" w:cs="宋体"/>
          <w:sz w:val="32"/>
          <w:szCs w:val="32"/>
          <w:lang w:eastAsia="zh-CN"/>
        </w:rPr>
        <w:t>中华人民共和国</w:t>
      </w:r>
      <w:r>
        <w:rPr>
          <w:rFonts w:hint="eastAsia" w:ascii="宋体" w:hAnsi="宋体" w:cs="宋体"/>
          <w:sz w:val="32"/>
          <w:szCs w:val="32"/>
        </w:rPr>
        <w:t>预算法》、《地方预决算公开操作规程》和《河北省省级预算公开办法》规定，现将河北省社会主</w:t>
      </w:r>
      <w:bookmarkStart w:id="4" w:name="_GoBack"/>
      <w:bookmarkEnd w:id="4"/>
      <w:r>
        <w:rPr>
          <w:rFonts w:hint="eastAsia" w:ascii="宋体" w:hAnsi="宋体" w:cs="宋体"/>
          <w:sz w:val="32"/>
          <w:szCs w:val="32"/>
        </w:rPr>
        <w:t>义学院</w:t>
      </w:r>
      <w:r>
        <w:rPr>
          <w:rFonts w:ascii="Times New Roman" w:hAnsi="Times New Roman"/>
          <w:sz w:val="32"/>
          <w:szCs w:val="32"/>
        </w:rPr>
        <w:t>2017</w:t>
      </w:r>
      <w:r>
        <w:rPr>
          <w:rFonts w:hint="eastAsia" w:ascii="宋体" w:hAnsi="宋体" w:cs="宋体"/>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Times New Roman" w:hAnsi="Times New Roman"/>
          <w:b/>
          <w:sz w:val="32"/>
          <w:szCs w:val="32"/>
        </w:rPr>
      </w:pPr>
      <w:r>
        <w:rPr>
          <w:rFonts w:ascii="Times New Roman" w:hAnsi="Times New Roman"/>
          <w:b/>
          <w:sz w:val="32"/>
          <w:szCs w:val="32"/>
        </w:rPr>
        <w:t>1</w:t>
      </w:r>
      <w:r>
        <w:rPr>
          <w:rFonts w:hint="eastAsia" w:ascii="宋体" w:hAnsi="宋体" w:cs="宋体"/>
          <w:b/>
          <w:sz w:val="32"/>
          <w:szCs w:val="32"/>
        </w:rPr>
        <w:t>、部门职责：</w:t>
      </w:r>
    </w:p>
    <w:p>
      <w:pPr>
        <w:ind w:firstLine="640" w:firstLineChars="200"/>
        <w:rPr>
          <w:rFonts w:ascii="Times New Roman" w:hAnsi="Times New Roman"/>
          <w:sz w:val="32"/>
          <w:szCs w:val="32"/>
        </w:rPr>
      </w:pPr>
      <w:r>
        <w:rPr>
          <w:rFonts w:hint="eastAsia" w:ascii="宋体" w:hAnsi="宋体" w:cs="宋体"/>
          <w:sz w:val="32"/>
          <w:szCs w:val="32"/>
        </w:rPr>
        <w:t>根据《河北省社会主义学院职能配置、内设机构和人员编制方案》规定，河北省社会主义学院的主要职责是：</w:t>
      </w:r>
    </w:p>
    <w:p>
      <w:pPr>
        <w:numPr>
          <w:ilvl w:val="0"/>
          <w:numId w:val="1"/>
        </w:numPr>
        <w:tabs>
          <w:tab w:val="left" w:pos="1720"/>
        </w:tabs>
        <w:rPr>
          <w:rFonts w:ascii="Times New Roman" w:hAnsi="Times New Roman"/>
          <w:sz w:val="32"/>
          <w:szCs w:val="32"/>
        </w:rPr>
      </w:pPr>
      <w:r>
        <w:rPr>
          <w:rFonts w:hint="eastAsia" w:ascii="宋体" w:hAnsi="宋体" w:cs="宋体"/>
          <w:sz w:val="32"/>
          <w:szCs w:val="32"/>
        </w:rPr>
        <w:t>轮训各民主党派和无党派干部。</w:t>
      </w:r>
    </w:p>
    <w:p>
      <w:pPr>
        <w:numPr>
          <w:ilvl w:val="0"/>
          <w:numId w:val="1"/>
        </w:numPr>
        <w:tabs>
          <w:tab w:val="left" w:pos="1720"/>
        </w:tabs>
        <w:rPr>
          <w:rFonts w:ascii="Times New Roman" w:hAnsi="Times New Roman"/>
          <w:sz w:val="32"/>
          <w:szCs w:val="32"/>
        </w:rPr>
      </w:pPr>
      <w:r>
        <w:rPr>
          <w:rFonts w:hint="eastAsia" w:ascii="宋体" w:hAnsi="宋体" w:cs="宋体"/>
          <w:sz w:val="32"/>
          <w:szCs w:val="32"/>
        </w:rPr>
        <w:t>培训中青年民主党派干部和无党党派代表人士。</w:t>
      </w:r>
    </w:p>
    <w:p>
      <w:pPr>
        <w:numPr>
          <w:ilvl w:val="0"/>
          <w:numId w:val="1"/>
        </w:numPr>
        <w:tabs>
          <w:tab w:val="left" w:pos="1720"/>
        </w:tabs>
        <w:rPr>
          <w:rFonts w:ascii="Times New Roman" w:hAnsi="Times New Roman"/>
          <w:sz w:val="32"/>
          <w:szCs w:val="32"/>
        </w:rPr>
      </w:pPr>
      <w:r>
        <w:rPr>
          <w:rFonts w:hint="eastAsia" w:ascii="宋体" w:hAnsi="宋体" w:cs="宋体"/>
          <w:sz w:val="32"/>
          <w:szCs w:val="32"/>
        </w:rPr>
        <w:t>培训少数民族干部、宗教代表人士和非公有制经济代表人士。</w:t>
      </w:r>
    </w:p>
    <w:p>
      <w:pPr>
        <w:numPr>
          <w:ilvl w:val="0"/>
          <w:numId w:val="1"/>
        </w:numPr>
        <w:tabs>
          <w:tab w:val="left" w:pos="1720"/>
        </w:tabs>
        <w:rPr>
          <w:rFonts w:ascii="Times New Roman" w:hAnsi="Times New Roman"/>
          <w:sz w:val="32"/>
          <w:szCs w:val="32"/>
        </w:rPr>
      </w:pPr>
      <w:r>
        <w:rPr>
          <w:rFonts w:hint="eastAsia" w:ascii="宋体" w:hAnsi="宋体" w:cs="宋体"/>
          <w:sz w:val="32"/>
          <w:szCs w:val="32"/>
        </w:rPr>
        <w:t>培训党的统一战线部门干部。</w:t>
      </w:r>
    </w:p>
    <w:p>
      <w:pPr>
        <w:numPr>
          <w:ilvl w:val="0"/>
          <w:numId w:val="1"/>
        </w:numPr>
        <w:tabs>
          <w:tab w:val="left" w:pos="1720"/>
        </w:tabs>
        <w:rPr>
          <w:rFonts w:ascii="Times New Roman" w:hAnsi="Times New Roman"/>
          <w:sz w:val="32"/>
          <w:szCs w:val="32"/>
        </w:rPr>
      </w:pPr>
      <w:r>
        <w:rPr>
          <w:rFonts w:hint="eastAsia" w:ascii="宋体" w:hAnsi="宋体" w:cs="宋体"/>
          <w:sz w:val="32"/>
          <w:szCs w:val="32"/>
        </w:rPr>
        <w:t>开展统一战线理论研究，宣传党的统战理论、方针和政策。</w:t>
      </w:r>
    </w:p>
    <w:p>
      <w:pPr>
        <w:numPr>
          <w:ilvl w:val="0"/>
          <w:numId w:val="2"/>
        </w:numPr>
        <w:autoSpaceDE w:val="0"/>
        <w:autoSpaceDN w:val="0"/>
        <w:adjustRightInd w:val="0"/>
        <w:ind w:firstLine="640" w:firstLineChars="200"/>
        <w:jc w:val="left"/>
        <w:rPr>
          <w:rFonts w:ascii="????_GBK" w:hAnsi="Times New Roman" w:eastAsia="Times New Roman"/>
          <w:b/>
          <w:sz w:val="32"/>
          <w:szCs w:val="32"/>
        </w:rPr>
      </w:pPr>
      <w:r>
        <w:rPr>
          <w:rFonts w:ascii="????_GBK" w:hAnsi="Times New Roman" w:eastAsia="Times New Roman"/>
          <w:b/>
          <w:sz w:val="32"/>
          <w:szCs w:val="32"/>
        </w:rPr>
        <w:t>机构设置：</w:t>
      </w:r>
    </w:p>
    <w:p>
      <w:pPr>
        <w:spacing w:line="300" w:lineRule="exact"/>
        <w:jc w:val="left"/>
        <w:rPr>
          <w:rFonts w:ascii="Times New Roman" w:hAnsi="Times New Roman" w:eastAsia="方正小标宋_GBK"/>
          <w:sz w:val="32"/>
          <w:szCs w:val="32"/>
        </w:rPr>
      </w:pPr>
      <w:r>
        <w:rPr>
          <w:rFonts w:ascii="Times New Roman" w:hAnsi="Times New Roman" w:eastAsia="方正小标宋_GBK"/>
          <w:sz w:val="32"/>
          <w:szCs w:val="32"/>
        </w:rPr>
        <w:t xml:space="preserve">         </w:t>
      </w:r>
    </w:p>
    <w:p>
      <w:pPr>
        <w:spacing w:line="300" w:lineRule="exact"/>
        <w:jc w:val="left"/>
        <w:rPr>
          <w:rFonts w:ascii="Times New Roman" w:hAnsi="Times New Roman" w:eastAsia="方正书宋_GBK"/>
          <w:sz w:val="24"/>
          <w:szCs w:val="24"/>
        </w:rPr>
      </w:pPr>
      <w:r>
        <w:rPr>
          <w:rFonts w:ascii="Times New Roman" w:hAnsi="Times New Roman" w:eastAsia="方正小标宋_GBK"/>
          <w:sz w:val="32"/>
          <w:szCs w:val="32"/>
        </w:rPr>
        <w:t xml:space="preserve">         </w:t>
      </w:r>
      <w:r>
        <w:rPr>
          <w:rFonts w:hint="eastAsia" w:ascii="Times New Roman" w:hAnsi="Times New Roman" w:eastAsia="方正小标宋_GBK"/>
          <w:sz w:val="24"/>
          <w:szCs w:val="24"/>
        </w:rPr>
        <w:t>部门机构设置情况</w:t>
      </w:r>
    </w:p>
    <w:tbl>
      <w:tblPr>
        <w:tblStyle w:val="8"/>
        <w:tblW w:w="11282" w:type="dxa"/>
        <w:jc w:val="center"/>
        <w:tblInd w:w="-2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2"/>
        <w:gridCol w:w="1815"/>
        <w:gridCol w:w="1800"/>
        <w:gridCol w:w="32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2" w:type="dxa"/>
            <w:vMerge w:val="restart"/>
            <w:vAlign w:val="center"/>
          </w:tcPr>
          <w:p>
            <w:pPr>
              <w:spacing w:line="300" w:lineRule="exact"/>
              <w:jc w:val="left"/>
              <w:rPr>
                <w:rFonts w:ascii="Times New Roman" w:hAnsi="Times New Roman" w:eastAsia="方正书宋_GBK"/>
                <w:sz w:val="28"/>
                <w:szCs w:val="28"/>
              </w:rPr>
            </w:pPr>
            <w:r>
              <w:rPr>
                <w:rFonts w:hint="eastAsia" w:ascii="Times New Roman" w:hAnsi="Times New Roman" w:eastAsia="方正书宋_GBK"/>
                <w:sz w:val="28"/>
                <w:szCs w:val="28"/>
              </w:rPr>
              <w:t>单位名称</w:t>
            </w:r>
          </w:p>
        </w:tc>
        <w:tc>
          <w:tcPr>
            <w:tcW w:w="1815" w:type="dxa"/>
            <w:vMerge w:val="restart"/>
            <w:vAlign w:val="center"/>
          </w:tcPr>
          <w:p>
            <w:pPr>
              <w:spacing w:line="300" w:lineRule="exact"/>
              <w:jc w:val="left"/>
              <w:rPr>
                <w:rFonts w:ascii="Times New Roman" w:hAnsi="Times New Roman" w:eastAsia="方正书宋_GBK"/>
                <w:sz w:val="28"/>
                <w:szCs w:val="28"/>
              </w:rPr>
            </w:pPr>
            <w:r>
              <w:rPr>
                <w:rFonts w:hint="eastAsia" w:ascii="Times New Roman" w:hAnsi="Times New Roman" w:eastAsia="方正书宋_GBK"/>
                <w:sz w:val="28"/>
                <w:szCs w:val="28"/>
              </w:rPr>
              <w:t>单位性质</w:t>
            </w:r>
          </w:p>
        </w:tc>
        <w:tc>
          <w:tcPr>
            <w:tcW w:w="1800" w:type="dxa"/>
            <w:vMerge w:val="restart"/>
            <w:vAlign w:val="center"/>
          </w:tcPr>
          <w:p>
            <w:pPr>
              <w:spacing w:line="300" w:lineRule="exact"/>
              <w:jc w:val="left"/>
              <w:rPr>
                <w:rFonts w:ascii="Times New Roman" w:hAnsi="Times New Roman" w:eastAsia="方正书宋_GBK"/>
                <w:sz w:val="28"/>
                <w:szCs w:val="28"/>
              </w:rPr>
            </w:pPr>
            <w:r>
              <w:rPr>
                <w:rFonts w:hint="eastAsia" w:ascii="Times New Roman" w:hAnsi="Times New Roman" w:eastAsia="方正书宋_GBK"/>
                <w:sz w:val="28"/>
                <w:szCs w:val="28"/>
              </w:rPr>
              <w:t>单位规格</w:t>
            </w:r>
          </w:p>
        </w:tc>
        <w:tc>
          <w:tcPr>
            <w:tcW w:w="3225" w:type="dxa"/>
            <w:vMerge w:val="restart"/>
            <w:vAlign w:val="center"/>
          </w:tcPr>
          <w:p>
            <w:pPr>
              <w:spacing w:line="300" w:lineRule="exact"/>
              <w:jc w:val="left"/>
              <w:rPr>
                <w:rFonts w:ascii="Times New Roman" w:hAnsi="Times New Roman" w:eastAsia="方正书宋_GBK"/>
                <w:sz w:val="28"/>
                <w:szCs w:val="28"/>
              </w:rPr>
            </w:pPr>
            <w:r>
              <w:rPr>
                <w:rFonts w:hint="eastAsia" w:ascii="Times New Roman" w:hAnsi="Times New Roman" w:eastAsia="方正书宋_GBK"/>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5" w:hRule="atLeast"/>
          <w:tblHeader/>
          <w:jc w:val="center"/>
        </w:trPr>
        <w:tc>
          <w:tcPr>
            <w:tcW w:w="4442" w:type="dxa"/>
            <w:vMerge w:val="continue"/>
            <w:vAlign w:val="center"/>
          </w:tcPr>
          <w:p>
            <w:pPr>
              <w:spacing w:line="300" w:lineRule="exact"/>
              <w:jc w:val="left"/>
              <w:outlineLvl w:val="0"/>
              <w:rPr>
                <w:rFonts w:ascii="Times New Roman" w:hAnsi="Times New Roman"/>
                <w:sz w:val="24"/>
                <w:szCs w:val="24"/>
              </w:rPr>
            </w:pPr>
          </w:p>
        </w:tc>
        <w:tc>
          <w:tcPr>
            <w:tcW w:w="1815" w:type="dxa"/>
            <w:vMerge w:val="continue"/>
            <w:vAlign w:val="center"/>
          </w:tcPr>
          <w:p>
            <w:pPr>
              <w:spacing w:line="300" w:lineRule="exact"/>
              <w:jc w:val="left"/>
              <w:outlineLvl w:val="0"/>
              <w:rPr>
                <w:rFonts w:ascii="Times New Roman" w:hAnsi="Times New Roman"/>
                <w:sz w:val="24"/>
                <w:szCs w:val="24"/>
              </w:rPr>
            </w:pPr>
          </w:p>
        </w:tc>
        <w:tc>
          <w:tcPr>
            <w:tcW w:w="1800" w:type="dxa"/>
            <w:vMerge w:val="continue"/>
            <w:vAlign w:val="center"/>
          </w:tcPr>
          <w:p>
            <w:pPr>
              <w:spacing w:line="300" w:lineRule="exact"/>
              <w:jc w:val="left"/>
              <w:outlineLvl w:val="0"/>
              <w:rPr>
                <w:rFonts w:ascii="Times New Roman" w:hAnsi="Times New Roman"/>
                <w:sz w:val="24"/>
                <w:szCs w:val="24"/>
              </w:rPr>
            </w:pPr>
          </w:p>
        </w:tc>
        <w:tc>
          <w:tcPr>
            <w:tcW w:w="3225" w:type="dxa"/>
            <w:vMerge w:val="continue"/>
            <w:vAlign w:val="center"/>
          </w:tcPr>
          <w:p>
            <w:pPr>
              <w:spacing w:line="300" w:lineRule="exact"/>
              <w:jc w:val="left"/>
              <w:outlineLvl w:val="0"/>
              <w:rPr>
                <w:rFonts w:ascii="Times New Roman" w:hAnsi="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jc w:val="center"/>
        </w:trPr>
        <w:tc>
          <w:tcPr>
            <w:tcW w:w="4442"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河北省社会主义学院（行政）</w:t>
            </w:r>
          </w:p>
        </w:tc>
        <w:tc>
          <w:tcPr>
            <w:tcW w:w="1815"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事业</w:t>
            </w:r>
          </w:p>
        </w:tc>
        <w:tc>
          <w:tcPr>
            <w:tcW w:w="1800"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正厅级</w:t>
            </w:r>
          </w:p>
        </w:tc>
        <w:tc>
          <w:tcPr>
            <w:tcW w:w="3225"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5" w:hRule="atLeast"/>
          <w:jc w:val="center"/>
        </w:trPr>
        <w:tc>
          <w:tcPr>
            <w:tcW w:w="4442"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河北省社会主义学院（事业）</w:t>
            </w:r>
          </w:p>
        </w:tc>
        <w:tc>
          <w:tcPr>
            <w:tcW w:w="1815"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事业</w:t>
            </w:r>
          </w:p>
        </w:tc>
        <w:tc>
          <w:tcPr>
            <w:tcW w:w="1800"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正处级</w:t>
            </w:r>
          </w:p>
        </w:tc>
        <w:tc>
          <w:tcPr>
            <w:tcW w:w="3225" w:type="dxa"/>
            <w:vAlign w:val="center"/>
          </w:tcPr>
          <w:p>
            <w:pPr>
              <w:spacing w:line="300" w:lineRule="exact"/>
              <w:jc w:val="left"/>
              <w:rPr>
                <w:rFonts w:ascii="Times New Roman" w:hAnsi="Times New Roman" w:eastAsia="方正书宋_GBK"/>
                <w:sz w:val="24"/>
                <w:szCs w:val="24"/>
              </w:rPr>
            </w:pPr>
            <w:r>
              <w:rPr>
                <w:rFonts w:hint="eastAsia" w:ascii="Times New Roman" w:hAnsi="Times New Roman" w:eastAsia="方正书宋_GBK"/>
                <w:sz w:val="24"/>
                <w:szCs w:val="24"/>
              </w:rPr>
              <w:t>财政性资金基本保证</w:t>
            </w:r>
          </w:p>
        </w:tc>
      </w:tr>
    </w:tbl>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sz w:val="32"/>
          <w:szCs w:val="32"/>
        </w:rPr>
      </w:pPr>
      <w:r>
        <w:rPr>
          <w:rFonts w:hint="eastAsia" w:ascii="宋体" w:hAnsi="宋体" w:cs="宋体"/>
          <w:sz w:val="32"/>
          <w:szCs w:val="32"/>
        </w:rPr>
        <w:t>按照预算管理有关规定，目前我省部门预算的编制实行综合预算制度，即全部收入和支出都反映在预算中。</w:t>
      </w:r>
    </w:p>
    <w:p>
      <w:pPr>
        <w:ind w:firstLine="640"/>
        <w:rPr>
          <w:rFonts w:ascii="Times New Roman" w:hAnsi="Times New Roman"/>
          <w:sz w:val="32"/>
          <w:szCs w:val="32"/>
        </w:rPr>
      </w:pPr>
      <w:r>
        <w:rPr>
          <w:rFonts w:ascii="Times New Roman" w:hAnsi="Times New Roman"/>
          <w:sz w:val="32"/>
          <w:szCs w:val="32"/>
        </w:rPr>
        <w:t>1</w:t>
      </w:r>
      <w:r>
        <w:rPr>
          <w:rFonts w:hint="eastAsia" w:ascii="宋体" w:hAnsi="宋体" w:cs="宋体"/>
          <w:sz w:val="32"/>
          <w:szCs w:val="32"/>
        </w:rPr>
        <w:t>、收入说明</w:t>
      </w:r>
    </w:p>
    <w:p>
      <w:pPr>
        <w:ind w:firstLine="640"/>
        <w:rPr>
          <w:rFonts w:ascii="Times New Roman" w:hAnsi="Times New Roman"/>
          <w:sz w:val="32"/>
          <w:szCs w:val="32"/>
        </w:rPr>
      </w:pPr>
      <w:r>
        <w:rPr>
          <w:rFonts w:hint="eastAsia" w:ascii="宋体" w:hAnsi="宋体" w:cs="宋体"/>
          <w:sz w:val="32"/>
          <w:szCs w:val="32"/>
        </w:rPr>
        <w:t>反映本部门当年全部收入。</w:t>
      </w:r>
      <w:r>
        <w:rPr>
          <w:rFonts w:ascii="Times New Roman" w:hAnsi="Times New Roman"/>
          <w:sz w:val="32"/>
          <w:szCs w:val="32"/>
        </w:rPr>
        <w:t>2017</w:t>
      </w:r>
      <w:r>
        <w:rPr>
          <w:rFonts w:hint="eastAsia" w:ascii="宋体" w:hAnsi="宋体" w:cs="宋体"/>
          <w:sz w:val="32"/>
          <w:szCs w:val="32"/>
        </w:rPr>
        <w:t>年预算收入</w:t>
      </w:r>
      <w:r>
        <w:rPr>
          <w:rFonts w:ascii="Times New Roman" w:hAnsi="Times New Roman"/>
          <w:sz w:val="32"/>
          <w:szCs w:val="32"/>
        </w:rPr>
        <w:t>1180.39</w:t>
      </w:r>
      <w:r>
        <w:rPr>
          <w:rFonts w:hint="eastAsia" w:ascii="宋体" w:hAnsi="宋体" w:cs="宋体"/>
          <w:sz w:val="32"/>
          <w:szCs w:val="32"/>
        </w:rPr>
        <w:t>万元，其中：一般公共预算收入</w:t>
      </w:r>
      <w:r>
        <w:rPr>
          <w:rFonts w:ascii="Times New Roman" w:hAnsi="Times New Roman"/>
          <w:sz w:val="32"/>
          <w:szCs w:val="32"/>
        </w:rPr>
        <w:t>1080.39</w:t>
      </w:r>
      <w:r>
        <w:rPr>
          <w:rFonts w:hint="eastAsia" w:ascii="宋体" w:hAnsi="宋体" w:cs="宋体"/>
          <w:sz w:val="32"/>
          <w:szCs w:val="32"/>
        </w:rPr>
        <w:t>万元，其他收入</w:t>
      </w:r>
      <w:r>
        <w:rPr>
          <w:rFonts w:ascii="Times New Roman" w:hAnsi="Times New Roman"/>
          <w:sz w:val="32"/>
          <w:szCs w:val="32"/>
        </w:rPr>
        <w:t>100</w:t>
      </w:r>
      <w:r>
        <w:rPr>
          <w:rFonts w:hint="eastAsia" w:ascii="宋体" w:hAnsi="宋体" w:cs="宋体"/>
          <w:sz w:val="32"/>
          <w:szCs w:val="32"/>
        </w:rPr>
        <w:t>万元。</w:t>
      </w:r>
    </w:p>
    <w:p>
      <w:pPr>
        <w:ind w:firstLine="640"/>
        <w:rPr>
          <w:rFonts w:ascii="Times New Roman" w:hAnsi="Times New Roman"/>
          <w:sz w:val="32"/>
          <w:szCs w:val="32"/>
        </w:rPr>
      </w:pPr>
      <w:r>
        <w:rPr>
          <w:rFonts w:ascii="Times New Roman" w:hAnsi="Times New Roman"/>
          <w:sz w:val="32"/>
          <w:szCs w:val="32"/>
        </w:rPr>
        <w:t>2</w:t>
      </w:r>
      <w:r>
        <w:rPr>
          <w:rFonts w:hint="eastAsia" w:ascii="宋体" w:hAnsi="宋体" w:cs="宋体"/>
          <w:sz w:val="32"/>
          <w:szCs w:val="32"/>
        </w:rPr>
        <w:t>、支出说明</w:t>
      </w:r>
    </w:p>
    <w:p>
      <w:pPr>
        <w:ind w:firstLine="640"/>
        <w:rPr>
          <w:rFonts w:ascii="Times New Roman" w:hAnsi="Times New Roman"/>
          <w:sz w:val="32"/>
          <w:szCs w:val="32"/>
        </w:rPr>
      </w:pPr>
      <w:r>
        <w:rPr>
          <w:rFonts w:hint="eastAsia" w:ascii="宋体" w:hAnsi="宋体" w:cs="宋体"/>
          <w:sz w:val="32"/>
          <w:szCs w:val="32"/>
        </w:rPr>
        <w:t>收支预算总表支出栏、基本支出表、项目支出表按经济分类和支出功能分类科目编制，反映河北省社会主义学院年度部门预算中支出预算的总体情况。</w:t>
      </w:r>
      <w:r>
        <w:rPr>
          <w:rFonts w:ascii="Times New Roman" w:hAnsi="Times New Roman"/>
          <w:sz w:val="32"/>
          <w:szCs w:val="32"/>
        </w:rPr>
        <w:t>2017</w:t>
      </w:r>
      <w:r>
        <w:rPr>
          <w:rFonts w:hint="eastAsia" w:ascii="宋体" w:hAnsi="宋体" w:cs="宋体"/>
          <w:sz w:val="32"/>
          <w:szCs w:val="32"/>
        </w:rPr>
        <w:t>年支出预算</w:t>
      </w:r>
      <w:r>
        <w:rPr>
          <w:rFonts w:ascii="Times New Roman" w:hAnsi="Times New Roman"/>
          <w:sz w:val="32"/>
          <w:szCs w:val="32"/>
        </w:rPr>
        <w:t>1180.39</w:t>
      </w:r>
      <w:r>
        <w:rPr>
          <w:rFonts w:hint="eastAsia" w:ascii="宋体" w:hAnsi="宋体" w:cs="宋体"/>
          <w:sz w:val="32"/>
          <w:szCs w:val="32"/>
        </w:rPr>
        <w:t>万元，其中基本支出</w:t>
      </w:r>
      <w:r>
        <w:rPr>
          <w:rFonts w:ascii="Times New Roman" w:hAnsi="Times New Roman"/>
          <w:sz w:val="32"/>
          <w:szCs w:val="32"/>
        </w:rPr>
        <w:t>893.84</w:t>
      </w:r>
      <w:r>
        <w:rPr>
          <w:rFonts w:hint="eastAsia" w:ascii="宋体" w:hAnsi="宋体" w:cs="宋体"/>
          <w:sz w:val="32"/>
          <w:szCs w:val="32"/>
        </w:rPr>
        <w:t>万元，包括人员经费和日常公用经费；项目支出</w:t>
      </w:r>
      <w:r>
        <w:rPr>
          <w:rFonts w:ascii="Times New Roman" w:hAnsi="Times New Roman"/>
          <w:sz w:val="32"/>
          <w:szCs w:val="32"/>
        </w:rPr>
        <w:t>189.4</w:t>
      </w:r>
      <w:r>
        <w:rPr>
          <w:rFonts w:hint="eastAsia" w:ascii="宋体" w:hAnsi="宋体" w:cs="宋体"/>
          <w:sz w:val="32"/>
          <w:szCs w:val="32"/>
        </w:rPr>
        <w:t>万元，包括本级支出</w:t>
      </w:r>
      <w:r>
        <w:rPr>
          <w:rFonts w:ascii="Times New Roman" w:hAnsi="Times New Roman"/>
          <w:sz w:val="32"/>
          <w:szCs w:val="32"/>
        </w:rPr>
        <w:t>189.4</w:t>
      </w:r>
      <w:r>
        <w:rPr>
          <w:rFonts w:hint="eastAsia" w:ascii="宋体" w:hAnsi="宋体" w:cs="宋体"/>
          <w:sz w:val="32"/>
          <w:szCs w:val="32"/>
        </w:rPr>
        <w:t>万元，其他支出</w:t>
      </w:r>
      <w:r>
        <w:rPr>
          <w:rFonts w:ascii="Times New Roman" w:hAnsi="Times New Roman"/>
          <w:sz w:val="32"/>
          <w:szCs w:val="32"/>
        </w:rPr>
        <w:t>97.15</w:t>
      </w:r>
      <w:r>
        <w:rPr>
          <w:rFonts w:hint="eastAsia" w:ascii="宋体" w:hAnsi="宋体" w:cs="宋体"/>
          <w:sz w:val="32"/>
          <w:szCs w:val="32"/>
        </w:rPr>
        <w:t>万元，主要为计划外班培训支出。</w:t>
      </w:r>
    </w:p>
    <w:p>
      <w:pPr>
        <w:ind w:firstLine="640"/>
        <w:rPr>
          <w:rFonts w:ascii="Times New Roman" w:hAnsi="Times New Roman"/>
          <w:sz w:val="32"/>
          <w:szCs w:val="32"/>
        </w:rPr>
      </w:pPr>
      <w:r>
        <w:rPr>
          <w:rFonts w:ascii="Times New Roman" w:hAnsi="Times New Roman"/>
          <w:sz w:val="32"/>
          <w:szCs w:val="32"/>
        </w:rPr>
        <w:t>3</w:t>
      </w:r>
      <w:r>
        <w:rPr>
          <w:rFonts w:hint="eastAsia" w:ascii="宋体" w:hAnsi="宋体" w:cs="宋体"/>
          <w:sz w:val="32"/>
          <w:szCs w:val="32"/>
        </w:rPr>
        <w:t>、比上年增减情况</w:t>
      </w:r>
    </w:p>
    <w:p>
      <w:pPr>
        <w:ind w:firstLine="640"/>
        <w:rPr>
          <w:rFonts w:ascii="宋体" w:cs="宋体"/>
          <w:sz w:val="32"/>
          <w:szCs w:val="32"/>
        </w:rPr>
      </w:pPr>
      <w:r>
        <w:rPr>
          <w:rFonts w:ascii="Times New Roman" w:hAnsi="Times New Roman"/>
          <w:sz w:val="32"/>
          <w:szCs w:val="32"/>
        </w:rPr>
        <w:t>2017</w:t>
      </w:r>
      <w:r>
        <w:rPr>
          <w:rFonts w:hint="eastAsia" w:ascii="宋体" w:hAnsi="宋体" w:cs="宋体"/>
          <w:sz w:val="32"/>
          <w:szCs w:val="32"/>
        </w:rPr>
        <w:t>年预算收支安排</w:t>
      </w:r>
      <w:r>
        <w:rPr>
          <w:rFonts w:ascii="Times New Roman" w:hAnsi="Times New Roman"/>
          <w:sz w:val="32"/>
          <w:szCs w:val="32"/>
        </w:rPr>
        <w:t>1180.39</w:t>
      </w:r>
      <w:r>
        <w:rPr>
          <w:rFonts w:hint="eastAsia" w:ascii="宋体" w:hAnsi="宋体" w:cs="宋体"/>
          <w:sz w:val="32"/>
          <w:szCs w:val="32"/>
        </w:rPr>
        <w:t>万元，较</w:t>
      </w:r>
      <w:r>
        <w:rPr>
          <w:rFonts w:ascii="Times New Roman" w:hAnsi="Times New Roman"/>
          <w:sz w:val="32"/>
          <w:szCs w:val="32"/>
        </w:rPr>
        <w:t>2016</w:t>
      </w:r>
      <w:r>
        <w:rPr>
          <w:rFonts w:hint="eastAsia" w:ascii="宋体" w:hAnsi="宋体" w:cs="宋体"/>
          <w:sz w:val="32"/>
          <w:szCs w:val="32"/>
        </w:rPr>
        <w:t>年预算减少</w:t>
      </w:r>
      <w:r>
        <w:rPr>
          <w:rFonts w:ascii="Times New Roman" w:hAnsi="Times New Roman"/>
          <w:sz w:val="32"/>
          <w:szCs w:val="32"/>
        </w:rPr>
        <w:t>891.88</w:t>
      </w:r>
      <w:r>
        <w:rPr>
          <w:rFonts w:hint="eastAsia" w:ascii="宋体" w:hAnsi="宋体" w:cs="宋体"/>
          <w:sz w:val="32"/>
          <w:szCs w:val="32"/>
        </w:rPr>
        <w:t>万元，其中：基本支出增加</w:t>
      </w:r>
      <w:r>
        <w:rPr>
          <w:rFonts w:ascii="Times New Roman" w:hAnsi="Times New Roman"/>
          <w:sz w:val="32"/>
          <w:szCs w:val="32"/>
        </w:rPr>
        <w:t>233.57</w:t>
      </w:r>
      <w:r>
        <w:rPr>
          <w:rFonts w:hint="eastAsia" w:ascii="宋体" w:hAnsi="宋体" w:cs="宋体"/>
          <w:sz w:val="32"/>
          <w:szCs w:val="32"/>
        </w:rPr>
        <w:t>万元，主要为增加人员经费支出</w:t>
      </w:r>
      <w:r>
        <w:rPr>
          <w:rFonts w:ascii="Times New Roman" w:hAnsi="Times New Roman"/>
          <w:sz w:val="32"/>
          <w:szCs w:val="32"/>
        </w:rPr>
        <w:t>204.36</w:t>
      </w:r>
      <w:r>
        <w:rPr>
          <w:rFonts w:hint="eastAsia" w:ascii="宋体" w:hAnsi="宋体" w:cs="宋体"/>
          <w:sz w:val="32"/>
          <w:szCs w:val="32"/>
        </w:rPr>
        <w:t>万元和增加日常公用经费支出</w:t>
      </w:r>
      <w:r>
        <w:rPr>
          <w:rFonts w:ascii="Times New Roman" w:hAnsi="Times New Roman"/>
          <w:sz w:val="32"/>
          <w:szCs w:val="32"/>
        </w:rPr>
        <w:t>29.21</w:t>
      </w:r>
      <w:r>
        <w:rPr>
          <w:rFonts w:hint="eastAsia" w:ascii="宋体" w:hAnsi="宋体" w:cs="宋体"/>
          <w:sz w:val="32"/>
          <w:szCs w:val="32"/>
        </w:rPr>
        <w:t>万元；项目支出减少</w:t>
      </w:r>
      <w:r>
        <w:rPr>
          <w:rFonts w:ascii="Times New Roman" w:hAnsi="Times New Roman"/>
          <w:sz w:val="32"/>
          <w:szCs w:val="32"/>
        </w:rPr>
        <w:t>1102.6</w:t>
      </w:r>
      <w:r>
        <w:rPr>
          <w:rFonts w:hint="eastAsia" w:ascii="宋体" w:hAnsi="宋体" w:cs="宋体"/>
          <w:sz w:val="32"/>
          <w:szCs w:val="32"/>
        </w:rPr>
        <w:t>万元，主要为主体班培训经费减少</w:t>
      </w:r>
      <w:r>
        <w:rPr>
          <w:rFonts w:ascii="Times New Roman" w:hAnsi="Times New Roman"/>
          <w:sz w:val="32"/>
          <w:szCs w:val="32"/>
        </w:rPr>
        <w:t>103</w:t>
      </w:r>
      <w:r>
        <w:rPr>
          <w:rFonts w:hint="eastAsia" w:ascii="宋体" w:hAnsi="宋体" w:cs="宋体"/>
          <w:sz w:val="32"/>
          <w:szCs w:val="32"/>
        </w:rPr>
        <w:t>万元，</w:t>
      </w:r>
      <w:r>
        <w:rPr>
          <w:rFonts w:ascii="Times New Roman" w:hAnsi="Times New Roman"/>
          <w:sz w:val="32"/>
          <w:szCs w:val="32"/>
        </w:rPr>
        <w:t xml:space="preserve">  </w:t>
      </w:r>
      <w:r>
        <w:rPr>
          <w:rFonts w:hint="eastAsia" w:ascii="宋体" w:hAnsi="宋体" w:cs="宋体"/>
          <w:sz w:val="32"/>
          <w:szCs w:val="32"/>
        </w:rPr>
        <w:t>危房维修改造项目减少</w:t>
      </w:r>
      <w:r>
        <w:rPr>
          <w:rFonts w:ascii="??_GB2312" w:hAnsi="黑体" w:eastAsia="Times New Roman"/>
          <w:sz w:val="32"/>
          <w:szCs w:val="32"/>
        </w:rPr>
        <w:t>1000</w:t>
      </w:r>
      <w:r>
        <w:rPr>
          <w:rFonts w:hint="eastAsia" w:ascii="宋体" w:hAnsi="宋体" w:cs="宋体"/>
          <w:sz w:val="32"/>
          <w:szCs w:val="32"/>
        </w:rPr>
        <w:t>万元，社科基金项目增加</w:t>
      </w:r>
      <w:r>
        <w:rPr>
          <w:rFonts w:ascii="宋体" w:hAnsi="宋体" w:cs="宋体"/>
          <w:sz w:val="32"/>
          <w:szCs w:val="32"/>
        </w:rPr>
        <w:t>0.4</w:t>
      </w:r>
      <w:r>
        <w:rPr>
          <w:rFonts w:hint="eastAsia" w:ascii="宋体" w:hAnsi="宋体" w:cs="宋体"/>
          <w:sz w:val="32"/>
          <w:szCs w:val="32"/>
        </w:rPr>
        <w:t>万元；其他支出减少</w:t>
      </w:r>
      <w:r>
        <w:rPr>
          <w:rFonts w:ascii="宋体" w:hAnsi="宋体" w:cs="宋体"/>
          <w:sz w:val="32"/>
          <w:szCs w:val="32"/>
        </w:rPr>
        <w:t>22.85</w:t>
      </w:r>
      <w:r>
        <w:rPr>
          <w:rFonts w:hint="eastAsia" w:ascii="宋体" w:hAnsi="宋体" w:cs="宋体"/>
          <w:sz w:val="32"/>
          <w:szCs w:val="32"/>
        </w:rPr>
        <w:t>万元。</w:t>
      </w:r>
    </w:p>
    <w:p>
      <w:pPr>
        <w:ind w:firstLine="640"/>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Times New Roman" w:hAnsi="Times New Roman"/>
          <w:sz w:val="32"/>
          <w:szCs w:val="32"/>
        </w:rPr>
      </w:pPr>
      <w:r>
        <w:rPr>
          <w:rFonts w:hint="eastAsia" w:ascii="宋体" w:hAnsi="宋体" w:cs="宋体"/>
          <w:sz w:val="32"/>
          <w:szCs w:val="32"/>
        </w:rPr>
        <w:t>机关运行经费共计安排</w:t>
      </w:r>
      <w:r>
        <w:rPr>
          <w:rFonts w:ascii="Times New Roman" w:hAnsi="Times New Roman"/>
          <w:sz w:val="32"/>
          <w:szCs w:val="32"/>
        </w:rPr>
        <w:t>265.44</w:t>
      </w:r>
      <w:r>
        <w:rPr>
          <w:rFonts w:hint="eastAsia" w:ascii="宋体" w:hAnsi="宋体" w:cs="宋体"/>
          <w:sz w:val="32"/>
          <w:szCs w:val="32"/>
        </w:rPr>
        <w:t>万元，主要用于我院办公区的日常维修、办公用房水电费、办公用房取暖费、办公用房物业管理费等日常运行支出。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宋体" w:cs="宋体"/>
          <w:sz w:val="32"/>
          <w:szCs w:val="32"/>
        </w:rPr>
      </w:pPr>
      <w:r>
        <w:rPr>
          <w:rFonts w:ascii="Times New Roman" w:hAnsi="Times New Roman"/>
          <w:sz w:val="32"/>
          <w:szCs w:val="32"/>
        </w:rPr>
        <w:t>2017</w:t>
      </w:r>
      <w:r>
        <w:rPr>
          <w:rFonts w:hint="eastAsia" w:ascii="宋体" w:hAnsi="宋体" w:cs="宋体"/>
          <w:sz w:val="32"/>
          <w:szCs w:val="32"/>
        </w:rPr>
        <w:t>年，我院财政拨款</w:t>
      </w:r>
      <w:r>
        <w:rPr>
          <w:rFonts w:ascii="Times New Roman" w:hAnsi="Times New Roman"/>
          <w:sz w:val="32"/>
          <w:szCs w:val="32"/>
        </w:rPr>
        <w:t xml:space="preserve"> “</w:t>
      </w:r>
      <w:r>
        <w:rPr>
          <w:rFonts w:hint="eastAsia" w:ascii="宋体" w:hAnsi="宋体" w:cs="宋体"/>
          <w:sz w:val="32"/>
          <w:szCs w:val="32"/>
        </w:rPr>
        <w:t>三公</w:t>
      </w:r>
      <w:r>
        <w:rPr>
          <w:rFonts w:ascii="Times New Roman" w:hAnsi="Times New Roman"/>
          <w:sz w:val="32"/>
          <w:szCs w:val="32"/>
        </w:rPr>
        <w:t>”</w:t>
      </w:r>
      <w:r>
        <w:rPr>
          <w:rFonts w:hint="eastAsia" w:ascii="宋体" w:hAnsi="宋体" w:cs="宋体"/>
          <w:sz w:val="32"/>
          <w:szCs w:val="32"/>
        </w:rPr>
        <w:t>经费预算安排</w:t>
      </w:r>
      <w:r>
        <w:rPr>
          <w:rFonts w:ascii="Times New Roman" w:hAnsi="Times New Roman"/>
          <w:sz w:val="32"/>
          <w:szCs w:val="32"/>
        </w:rPr>
        <w:t>31.24</w:t>
      </w:r>
      <w:r>
        <w:rPr>
          <w:rFonts w:hint="eastAsia" w:ascii="宋体" w:hAnsi="宋体" w:cs="宋体"/>
          <w:sz w:val="32"/>
          <w:szCs w:val="32"/>
        </w:rPr>
        <w:t>万元，其中因公出国（境）费</w:t>
      </w:r>
      <w:r>
        <w:rPr>
          <w:rFonts w:ascii="Times New Roman" w:hAnsi="Times New Roman"/>
          <w:sz w:val="32"/>
          <w:szCs w:val="32"/>
        </w:rPr>
        <w:t>7</w:t>
      </w:r>
      <w:r>
        <w:rPr>
          <w:rFonts w:hint="eastAsia" w:ascii="宋体" w:hAnsi="宋体" w:cs="宋体"/>
          <w:sz w:val="32"/>
          <w:szCs w:val="32"/>
        </w:rPr>
        <w:t>万元；公务用车购置及运维费</w:t>
      </w:r>
      <w:r>
        <w:rPr>
          <w:rFonts w:ascii="Times New Roman" w:hAnsi="Times New Roman"/>
          <w:sz w:val="32"/>
          <w:szCs w:val="32"/>
        </w:rPr>
        <w:t>20.24</w:t>
      </w:r>
      <w:r>
        <w:rPr>
          <w:rFonts w:hint="eastAsia" w:ascii="宋体" w:hAnsi="宋体" w:cs="宋体"/>
          <w:sz w:val="32"/>
          <w:szCs w:val="32"/>
        </w:rPr>
        <w:t>万元（其中：公务用车购置费为</w:t>
      </w:r>
      <w:r>
        <w:rPr>
          <w:rFonts w:ascii="Times New Roman" w:hAnsi="Times New Roman"/>
          <w:sz w:val="32"/>
          <w:szCs w:val="32"/>
        </w:rPr>
        <w:t>0</w:t>
      </w:r>
      <w:r>
        <w:rPr>
          <w:rFonts w:hint="eastAsia" w:ascii="宋体" w:hAnsi="宋体" w:cs="宋体"/>
          <w:sz w:val="32"/>
          <w:szCs w:val="32"/>
        </w:rPr>
        <w:t>，公务用车运行费</w:t>
      </w:r>
      <w:r>
        <w:rPr>
          <w:rFonts w:ascii="Times New Roman" w:hAnsi="Times New Roman"/>
          <w:sz w:val="32"/>
          <w:szCs w:val="32"/>
        </w:rPr>
        <w:t>20.24</w:t>
      </w:r>
      <w:r>
        <w:rPr>
          <w:rFonts w:hint="eastAsia" w:ascii="宋体" w:hAnsi="宋体" w:cs="宋体"/>
          <w:sz w:val="32"/>
          <w:szCs w:val="32"/>
        </w:rPr>
        <w:t>万元</w:t>
      </w:r>
      <w:r>
        <w:rPr>
          <w:rFonts w:ascii="Times New Roman" w:hAnsi="Times New Roman"/>
          <w:sz w:val="32"/>
          <w:szCs w:val="32"/>
        </w:rPr>
        <w:t>)</w:t>
      </w:r>
      <w:r>
        <w:rPr>
          <w:rFonts w:hint="eastAsia" w:ascii="宋体" w:hAnsi="宋体" w:cs="宋体"/>
          <w:sz w:val="32"/>
          <w:szCs w:val="32"/>
        </w:rPr>
        <w:t>；公务接待费</w:t>
      </w:r>
      <w:r>
        <w:rPr>
          <w:rFonts w:ascii="Times New Roman" w:hAnsi="Times New Roman"/>
          <w:sz w:val="32"/>
          <w:szCs w:val="32"/>
        </w:rPr>
        <w:t>4</w:t>
      </w:r>
      <w:r>
        <w:rPr>
          <w:rFonts w:hint="eastAsia" w:ascii="宋体" w:hAnsi="宋体" w:cs="宋体"/>
          <w:sz w:val="32"/>
          <w:szCs w:val="32"/>
        </w:rPr>
        <w:t>万元。与</w:t>
      </w:r>
      <w:r>
        <w:rPr>
          <w:rFonts w:ascii="Times New Roman" w:hAnsi="Times New Roman"/>
          <w:sz w:val="32"/>
          <w:szCs w:val="32"/>
        </w:rPr>
        <w:t>2016</w:t>
      </w:r>
      <w:r>
        <w:rPr>
          <w:rFonts w:hint="eastAsia" w:ascii="宋体" w:hAnsi="宋体" w:cs="宋体"/>
          <w:sz w:val="32"/>
          <w:szCs w:val="32"/>
        </w:rPr>
        <w:t>年持平</w:t>
      </w:r>
      <w:r>
        <w:rPr>
          <w:rFonts w:ascii="宋体" w:cs="宋体"/>
          <w:sz w:val="32"/>
          <w:szCs w:val="32"/>
        </w:rPr>
        <w:t>,</w:t>
      </w:r>
      <w:r>
        <w:rPr>
          <w:rFonts w:hint="eastAsia" w:ascii="宋体" w:hAnsi="宋体" w:cs="宋体"/>
          <w:sz w:val="32"/>
          <w:szCs w:val="32"/>
        </w:rPr>
        <w:t>无增减变化。</w:t>
      </w:r>
    </w:p>
    <w:p>
      <w:pPr>
        <w:autoSpaceDE w:val="0"/>
        <w:autoSpaceDN w:val="0"/>
        <w:adjustRightInd w:val="0"/>
        <w:ind w:left="198" w:firstLine="640" w:firstLineChars="200"/>
        <w:jc w:val="left"/>
        <w:rPr>
          <w:rFonts w:ascii="Times New Roman" w:hAnsi="Times New Roman"/>
          <w:sz w:val="32"/>
          <w:szCs w:val="32"/>
        </w:rPr>
      </w:pPr>
      <w:r>
        <w:rPr>
          <w:rFonts w:hint="eastAsia" w:ascii="宋体" w:hAnsi="宋体" w:cs="宋体"/>
          <w:sz w:val="32"/>
          <w:szCs w:val="32"/>
        </w:rPr>
        <w:t>五、绩效预算信息</w:t>
      </w:r>
    </w:p>
    <w:p>
      <w:pPr>
        <w:ind w:firstLine="640"/>
        <w:rPr>
          <w:rFonts w:ascii="Times New Roman" w:hAnsi="Times New Roman"/>
          <w:sz w:val="32"/>
          <w:szCs w:val="32"/>
        </w:rPr>
      </w:pPr>
      <w:bookmarkStart w:id="0" w:name="_Toc471398463"/>
      <w:r>
        <w:rPr>
          <w:rFonts w:hint="eastAsia" w:ascii="宋体" w:hAnsi="宋体" w:cs="宋体"/>
          <w:sz w:val="32"/>
          <w:szCs w:val="32"/>
        </w:rPr>
        <w:t>总体绩效目标：</w:t>
      </w:r>
    </w:p>
    <w:p>
      <w:pPr>
        <w:ind w:firstLine="640"/>
        <w:rPr>
          <w:rFonts w:ascii="Times New Roman" w:hAnsi="Times New Roman"/>
          <w:sz w:val="32"/>
          <w:szCs w:val="32"/>
        </w:rPr>
      </w:pPr>
      <w:r>
        <w:rPr>
          <w:rFonts w:hint="eastAsia" w:ascii="宋体" w:hAnsi="宋体" w:cs="宋体"/>
          <w:sz w:val="32"/>
          <w:szCs w:val="32"/>
        </w:rPr>
        <w:t>通过完善基础设备，强化职工队伍和学科建设，使我院在教学科研、综合管理、办学条件等方面有明显的提高，基本实现正规化办学；通过努力，争取实现各项评估指标达到省级社院中等发展水平，并力争跨入全国先进省级社院行列，使我院真正成为我省统一战线的</w:t>
      </w:r>
      <w:r>
        <w:rPr>
          <w:rFonts w:ascii="Times New Roman" w:hAnsi="Times New Roman"/>
          <w:sz w:val="32"/>
          <w:szCs w:val="32"/>
        </w:rPr>
        <w:t>“</w:t>
      </w:r>
      <w:r>
        <w:rPr>
          <w:rFonts w:hint="eastAsia" w:ascii="宋体" w:hAnsi="宋体" w:cs="宋体"/>
          <w:sz w:val="32"/>
          <w:szCs w:val="32"/>
        </w:rPr>
        <w:t>人才培养基地、理论研究基地、方针政策宣传基地</w:t>
      </w:r>
      <w:r>
        <w:rPr>
          <w:rFonts w:ascii="Times New Roman" w:hAnsi="Times New Roman"/>
          <w:sz w:val="32"/>
          <w:szCs w:val="32"/>
        </w:rPr>
        <w:t>”</w:t>
      </w:r>
      <w:r>
        <w:rPr>
          <w:rFonts w:hint="eastAsia" w:ascii="宋体" w:hAnsi="宋体" w:cs="宋体"/>
          <w:sz w:val="32"/>
          <w:szCs w:val="32"/>
        </w:rPr>
        <w:t>。</w:t>
      </w:r>
    </w:p>
    <w:p>
      <w:pPr>
        <w:ind w:firstLine="640"/>
        <w:rPr>
          <w:rFonts w:ascii="Times New Roman" w:hAnsi="Times New Roman"/>
          <w:sz w:val="32"/>
          <w:szCs w:val="32"/>
        </w:rPr>
      </w:pPr>
      <w:r>
        <w:rPr>
          <w:rFonts w:hint="eastAsia" w:ascii="宋体" w:hAnsi="宋体" w:cs="宋体"/>
          <w:sz w:val="32"/>
          <w:szCs w:val="32"/>
        </w:rPr>
        <w:t>部门职责及工作活动绩效目标指标：</w:t>
      </w:r>
    </w:p>
    <w:p>
      <w:pPr>
        <w:ind w:firstLine="640"/>
        <w:rPr>
          <w:rFonts w:ascii="Times New Roman" w:hAnsi="Times New Roman"/>
          <w:sz w:val="32"/>
          <w:szCs w:val="32"/>
        </w:rPr>
      </w:pPr>
      <w:r>
        <w:rPr>
          <w:rFonts w:hint="eastAsia" w:ascii="宋体" w:hAnsi="宋体" w:cs="宋体"/>
          <w:sz w:val="32"/>
          <w:szCs w:val="32"/>
        </w:rPr>
        <w:t>（一）干部培训。培训《中国共产党统一战线工作条例》明确的民主党派、无党派人士、民族宗教、非公有制经济等统一战线工作领域的党外干部、党外代表人士和全省统一战线工作部门干部。高质量地完成培训任务，进一步增强学员对中国特色社会主义的政治认同、理论认同和情感认同，进一步坚定走中国特色社会主义道路的信心和决心。</w:t>
      </w:r>
    </w:p>
    <w:p>
      <w:pPr>
        <w:ind w:firstLine="640"/>
        <w:rPr>
          <w:rFonts w:ascii="Times New Roman" w:hAnsi="Times New Roman"/>
          <w:sz w:val="32"/>
          <w:szCs w:val="32"/>
        </w:rPr>
      </w:pPr>
      <w:r>
        <w:rPr>
          <w:rFonts w:hint="eastAsia" w:ascii="宋体" w:hAnsi="宋体" w:cs="宋体"/>
          <w:sz w:val="32"/>
          <w:szCs w:val="32"/>
        </w:rPr>
        <w:t>（二）理论研究与文化交流。开展统一战线理论研究，宣传党的统战理论、方针和政策。面向港澳台同胞和海外侨胞进行文化研修、文化培训和文化交流活动。推进统一战线理论研究，完成有质量的课题、调研报告以及科研咨政工作。向港澳台同胞和海外侨胞大力弘扬爱国主义精神，宣传中华优秀传统文化和燕赵文化。</w:t>
      </w:r>
    </w:p>
    <w:p>
      <w:pPr>
        <w:ind w:firstLine="640"/>
        <w:rPr>
          <w:rFonts w:ascii="Times New Roman" w:hAnsi="Times New Roman"/>
          <w:sz w:val="32"/>
          <w:szCs w:val="32"/>
        </w:rPr>
      </w:pPr>
    </w:p>
    <w:p>
      <w:pPr>
        <w:jc w:val="center"/>
        <w:outlineLvl w:val="0"/>
        <w:rPr>
          <w:rFonts w:ascii="方正小标宋_GBK" w:eastAsia="方正小标宋_GBK"/>
          <w:sz w:val="32"/>
          <w:szCs w:val="32"/>
        </w:rPr>
      </w:pPr>
      <w:bookmarkStart w:id="1" w:name="_Toc471318979"/>
    </w:p>
    <w:p>
      <w:pPr>
        <w:jc w:val="center"/>
        <w:outlineLvl w:val="0"/>
        <w:rPr>
          <w:rFonts w:ascii="方正小标宋_GBK" w:eastAsia="方正小标宋_GBK"/>
          <w:sz w:val="32"/>
          <w:szCs w:val="32"/>
        </w:rPr>
      </w:pPr>
      <w:r>
        <w:rPr>
          <w:rFonts w:hint="eastAsia" w:ascii="方正小标宋_GBK" w:eastAsia="方正小标宋_GBK"/>
          <w:sz w:val="32"/>
          <w:szCs w:val="32"/>
        </w:rPr>
        <w:t>部门职责</w:t>
      </w:r>
      <w:r>
        <w:rPr>
          <w:rFonts w:ascii="方正小标宋_GBK" w:eastAsia="方正小标宋_GBK"/>
          <w:sz w:val="32"/>
          <w:szCs w:val="32"/>
        </w:rPr>
        <w:t>-</w:t>
      </w:r>
      <w:r>
        <w:rPr>
          <w:rFonts w:hint="eastAsia" w:ascii="方正小标宋_GBK" w:eastAsia="方正小标宋_GBK"/>
          <w:sz w:val="32"/>
          <w:szCs w:val="32"/>
        </w:rPr>
        <w:t>工作活动绩效目标</w:t>
      </w:r>
      <w:bookmarkEnd w:id="1"/>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sz w:val="24"/>
                <w:szCs w:val="24"/>
              </w:rPr>
              <w:t>485</w:t>
            </w:r>
            <w:r>
              <w:rPr>
                <w:rFonts w:hint="eastAsia" w:ascii="方正小标宋_GBK" w:eastAsia="方正小标宋_GBK"/>
                <w:sz w:val="24"/>
                <w:szCs w:val="24"/>
              </w:rPr>
              <w:t>河北省社会主义学院</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职责活动</w:t>
            </w:r>
          </w:p>
        </w:tc>
        <w:tc>
          <w:tcPr>
            <w:tcW w:w="1276"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年度预算数</w:t>
            </w:r>
          </w:p>
        </w:tc>
        <w:tc>
          <w:tcPr>
            <w:tcW w:w="2976"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内容描述</w:t>
            </w:r>
          </w:p>
        </w:tc>
        <w:tc>
          <w:tcPr>
            <w:tcW w:w="2976"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绩效目标</w:t>
            </w:r>
          </w:p>
        </w:tc>
        <w:tc>
          <w:tcPr>
            <w:tcW w:w="1417"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绩效指标</w:t>
            </w:r>
          </w:p>
        </w:tc>
        <w:tc>
          <w:tcPr>
            <w:tcW w:w="2948" w:type="dxa"/>
            <w:gridSpan w:val="4"/>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sz w:val="24"/>
                <w:szCs w:val="24"/>
              </w:rPr>
            </w:pPr>
          </w:p>
        </w:tc>
        <w:tc>
          <w:tcPr>
            <w:tcW w:w="1276" w:type="dxa"/>
            <w:vMerge w:val="continue"/>
            <w:vAlign w:val="center"/>
          </w:tcPr>
          <w:p>
            <w:pPr>
              <w:spacing w:line="300" w:lineRule="exact"/>
              <w:jc w:val="left"/>
              <w:outlineLvl w:val="0"/>
              <w:rPr>
                <w:sz w:val="24"/>
                <w:szCs w:val="24"/>
              </w:rPr>
            </w:pPr>
          </w:p>
        </w:tc>
        <w:tc>
          <w:tcPr>
            <w:tcW w:w="2976" w:type="dxa"/>
            <w:vMerge w:val="continue"/>
            <w:vAlign w:val="center"/>
          </w:tcPr>
          <w:p>
            <w:pPr>
              <w:spacing w:line="300" w:lineRule="exact"/>
              <w:jc w:val="left"/>
              <w:outlineLvl w:val="0"/>
              <w:rPr>
                <w:sz w:val="24"/>
                <w:szCs w:val="24"/>
              </w:rPr>
            </w:pPr>
          </w:p>
        </w:tc>
        <w:tc>
          <w:tcPr>
            <w:tcW w:w="2976" w:type="dxa"/>
            <w:vMerge w:val="continue"/>
            <w:vAlign w:val="center"/>
          </w:tcPr>
          <w:p>
            <w:pPr>
              <w:spacing w:line="300" w:lineRule="exact"/>
              <w:jc w:val="left"/>
              <w:outlineLvl w:val="0"/>
              <w:rPr>
                <w:sz w:val="24"/>
                <w:szCs w:val="24"/>
              </w:rPr>
            </w:pPr>
          </w:p>
        </w:tc>
        <w:tc>
          <w:tcPr>
            <w:tcW w:w="1417" w:type="dxa"/>
            <w:vMerge w:val="continue"/>
            <w:vAlign w:val="center"/>
          </w:tcPr>
          <w:p>
            <w:pPr>
              <w:spacing w:line="300" w:lineRule="exact"/>
              <w:jc w:val="left"/>
              <w:outlineLvl w:val="0"/>
              <w:rPr>
                <w:sz w:val="24"/>
                <w:szCs w:val="24"/>
              </w:rPr>
            </w:pPr>
          </w:p>
        </w:tc>
        <w:tc>
          <w:tcPr>
            <w:tcW w:w="737"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优</w:t>
            </w:r>
          </w:p>
        </w:tc>
        <w:tc>
          <w:tcPr>
            <w:tcW w:w="737"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良</w:t>
            </w:r>
          </w:p>
        </w:tc>
        <w:tc>
          <w:tcPr>
            <w:tcW w:w="737"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中</w:t>
            </w:r>
          </w:p>
        </w:tc>
        <w:tc>
          <w:tcPr>
            <w:tcW w:w="737"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一、干部培训</w:t>
            </w:r>
          </w:p>
        </w:tc>
        <w:tc>
          <w:tcPr>
            <w:tcW w:w="1276"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139.40</w:t>
            </w:r>
          </w:p>
        </w:tc>
        <w:tc>
          <w:tcPr>
            <w:tcW w:w="29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培训公务员、国有企业管理人员、政策研究人员，承办省委省政府举办的专题研讨班，开展多种形式的委托培训和合作培训。</w:t>
            </w:r>
          </w:p>
        </w:tc>
        <w:tc>
          <w:tcPr>
            <w:tcW w:w="29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创新公务员培训理念、培训内容、培训模式、培训方法的教育培训新格局，高质量的完成培训公务员的任务。</w:t>
            </w:r>
          </w:p>
        </w:tc>
        <w:tc>
          <w:tcPr>
            <w:tcW w:w="1417" w:type="dxa"/>
            <w:vAlign w:val="center"/>
          </w:tcPr>
          <w:p>
            <w:pPr>
              <w:spacing w:line="300" w:lineRule="exact"/>
              <w:jc w:val="left"/>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　　组织培训班</w:t>
            </w:r>
          </w:p>
        </w:tc>
        <w:tc>
          <w:tcPr>
            <w:tcW w:w="1276" w:type="dxa"/>
            <w:vMerge w:val="restart"/>
            <w:vAlign w:val="center"/>
          </w:tcPr>
          <w:p>
            <w:pPr>
              <w:spacing w:line="300" w:lineRule="exact"/>
              <w:jc w:val="left"/>
              <w:rPr>
                <w:rFonts w:ascii="方正书宋_GBK" w:eastAsia="方正书宋_GBK"/>
                <w:sz w:val="24"/>
                <w:szCs w:val="24"/>
              </w:rPr>
            </w:pPr>
            <w:r>
              <w:rPr>
                <w:rFonts w:ascii="方正书宋_GBK" w:eastAsia="方正书宋_GBK"/>
                <w:sz w:val="24"/>
                <w:szCs w:val="24"/>
              </w:rPr>
              <w:t>127.00</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按照省委统战部和省社院联合下达的培训计划，完成培训任务</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完成全年培训任务。</w:t>
            </w: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委托单位满意度</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85%</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70%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60%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学员满意度</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70%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培训人次</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1000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900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800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培训计划完成率</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70%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　　师资与课程建设</w:t>
            </w:r>
          </w:p>
        </w:tc>
        <w:tc>
          <w:tcPr>
            <w:tcW w:w="1276" w:type="dxa"/>
            <w:vMerge w:val="restart"/>
            <w:vAlign w:val="center"/>
          </w:tcPr>
          <w:p>
            <w:pPr>
              <w:spacing w:line="300" w:lineRule="exact"/>
              <w:jc w:val="left"/>
              <w:rPr>
                <w:rFonts w:ascii="方正书宋_GBK" w:eastAsia="方正书宋_GBK"/>
                <w:sz w:val="24"/>
                <w:szCs w:val="24"/>
              </w:rPr>
            </w:pPr>
            <w:r>
              <w:rPr>
                <w:rFonts w:ascii="方正书宋_GBK" w:eastAsia="方正书宋_GBK"/>
                <w:sz w:val="24"/>
                <w:szCs w:val="24"/>
              </w:rPr>
              <w:t>10.00</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加强干部教师培训、交流、培养，加大精品课程开发力度，开展教学相关的理论研究工作。</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通过学习和锻炼，进一步提高干部教师的理论素质和实践经验，培养造就优秀干部和教师队伍。每年根据工作需要选派干部教师进修学习。</w:t>
            </w: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教师培训进修比例</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30%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20%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10%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课程开发合格率</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75%</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65%</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培养干部教师人次</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3</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教学研究课题数量</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0</w:t>
            </w:r>
          </w:p>
        </w:tc>
        <w:tc>
          <w:tcPr>
            <w:tcW w:w="737" w:type="dxa"/>
            <w:vAlign w:val="center"/>
          </w:tcPr>
          <w:p>
            <w:pPr>
              <w:spacing w:line="300" w:lineRule="exact"/>
              <w:jc w:val="center"/>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课程开发通过数量</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3</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　　教学事务管理</w:t>
            </w:r>
          </w:p>
        </w:tc>
        <w:tc>
          <w:tcPr>
            <w:tcW w:w="1276" w:type="dxa"/>
            <w:vMerge w:val="restart"/>
            <w:vAlign w:val="center"/>
          </w:tcPr>
          <w:p>
            <w:pPr>
              <w:spacing w:line="300" w:lineRule="exact"/>
              <w:jc w:val="left"/>
              <w:rPr>
                <w:rFonts w:ascii="方正书宋_GBK" w:eastAsia="方正书宋_GBK"/>
                <w:sz w:val="24"/>
                <w:szCs w:val="24"/>
              </w:rPr>
            </w:pPr>
            <w:r>
              <w:rPr>
                <w:rFonts w:ascii="方正书宋_GBK" w:eastAsia="方正书宋_GBK"/>
                <w:sz w:val="24"/>
                <w:szCs w:val="24"/>
              </w:rPr>
              <w:t>2.40</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组织实施教学质量管理、信息化建设等，与教学活动和学员培训相关的综合管理和后勤保障事务。</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不断提高学院综合办学能力，提高后勤保障能力，确保教育培训工作正常进行。</w:t>
            </w: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师生满意度</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70%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学员对教学质量评分</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70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二、理论研究与文化交流</w:t>
            </w:r>
          </w:p>
        </w:tc>
        <w:tc>
          <w:tcPr>
            <w:tcW w:w="1276"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50.00</w:t>
            </w:r>
          </w:p>
        </w:tc>
        <w:tc>
          <w:tcPr>
            <w:tcW w:w="29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开展统一战线理论研究，宣传党的统战理论、方针和政策。</w:t>
            </w:r>
          </w:p>
        </w:tc>
        <w:tc>
          <w:tcPr>
            <w:tcW w:w="29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推进社会科学理论创新，完成一批有质量的课题、调研报告以及决策分析报告。</w:t>
            </w:r>
          </w:p>
        </w:tc>
        <w:tc>
          <w:tcPr>
            <w:tcW w:w="1417" w:type="dxa"/>
            <w:vAlign w:val="center"/>
          </w:tcPr>
          <w:p>
            <w:pPr>
              <w:spacing w:line="300" w:lineRule="exact"/>
              <w:jc w:val="left"/>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c>
          <w:tcPr>
            <w:tcW w:w="737" w:type="dxa"/>
            <w:vAlign w:val="center"/>
          </w:tcPr>
          <w:p>
            <w:pPr>
              <w:spacing w:line="300" w:lineRule="exact"/>
              <w:jc w:val="center"/>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　　理论研究</w:t>
            </w:r>
          </w:p>
        </w:tc>
        <w:tc>
          <w:tcPr>
            <w:tcW w:w="1276" w:type="dxa"/>
            <w:vMerge w:val="restart"/>
            <w:vAlign w:val="center"/>
          </w:tcPr>
          <w:p>
            <w:pPr>
              <w:spacing w:line="300" w:lineRule="exact"/>
              <w:jc w:val="left"/>
              <w:rPr>
                <w:rFonts w:ascii="方正书宋_GBK" w:eastAsia="方正书宋_GBK"/>
                <w:sz w:val="24"/>
                <w:szCs w:val="24"/>
              </w:rPr>
            </w:pPr>
            <w:r>
              <w:rPr>
                <w:rFonts w:ascii="方正书宋_GBK" w:eastAsia="方正书宋_GBK"/>
                <w:sz w:val="24"/>
                <w:szCs w:val="24"/>
              </w:rPr>
              <w:t>20.00</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围绕全省统一战线工作的实际，搞好调查研究，进行理论探索和创新，加强科研咨政建设。宣传党和国家的路线方针政策，刊发教学培训、理论研究成果，推进理论和实践创新。</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为我省统战工作和经济社会发展的需要服务，积极完成本院和省部级及以上科研项目。提高《学报》质量，提升档次。加强图书资料建设。</w:t>
            </w: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出版《学报》期数</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4</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3</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论文发表数量</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10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6</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科研咨政研究报告数量</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3</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统战系统及以上项目研究数量</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3</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sz w:val="24"/>
                <w:szCs w:val="24"/>
              </w:rPr>
            </w:pPr>
            <w:r>
              <w:rPr>
                <w:rFonts w:hint="eastAsia" w:ascii="方正书宋_GBK" w:eastAsia="方正书宋_GBK"/>
                <w:b/>
                <w:sz w:val="24"/>
                <w:szCs w:val="24"/>
              </w:rPr>
              <w:t>　　中华文化交流</w:t>
            </w:r>
          </w:p>
        </w:tc>
        <w:tc>
          <w:tcPr>
            <w:tcW w:w="1276" w:type="dxa"/>
            <w:vMerge w:val="restart"/>
            <w:vAlign w:val="center"/>
          </w:tcPr>
          <w:p>
            <w:pPr>
              <w:spacing w:line="300" w:lineRule="exact"/>
              <w:jc w:val="left"/>
              <w:rPr>
                <w:rFonts w:ascii="方正书宋_GBK" w:eastAsia="方正书宋_GBK"/>
                <w:sz w:val="24"/>
                <w:szCs w:val="24"/>
              </w:rPr>
            </w:pPr>
            <w:r>
              <w:rPr>
                <w:rFonts w:ascii="方正书宋_GBK" w:eastAsia="方正书宋_GBK"/>
                <w:sz w:val="24"/>
                <w:szCs w:val="24"/>
              </w:rPr>
              <w:t>30.00</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通过举办多种形式的对外文化交流活动、文化教育培训、文化研讨，大力弘扬爱国主义精神，宣传中华优秀传统文化和燕赵文化。</w:t>
            </w:r>
          </w:p>
        </w:tc>
        <w:tc>
          <w:tcPr>
            <w:tcW w:w="2976" w:type="dxa"/>
            <w:vMerge w:val="restart"/>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举办文化类专题培训班，开展与港澳台地区和海外华人的联谊、交流与合作，参加中央及省内的出国（境）学习交流活动，举办文化类活动。</w:t>
            </w: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参与活动人次</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100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80</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60</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sz w:val="24"/>
                <w:szCs w:val="24"/>
              </w:rPr>
            </w:pPr>
          </w:p>
        </w:tc>
        <w:tc>
          <w:tcPr>
            <w:tcW w:w="12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2976" w:type="dxa"/>
            <w:vMerge w:val="continue"/>
            <w:vAlign w:val="center"/>
          </w:tcPr>
          <w:p>
            <w:pPr>
              <w:spacing w:line="300" w:lineRule="exact"/>
              <w:jc w:val="left"/>
              <w:rPr>
                <w:rFonts w:ascii="方正书宋_GBK" w:eastAsia="方正书宋_GBK"/>
                <w:sz w:val="24"/>
                <w:szCs w:val="24"/>
              </w:rPr>
            </w:pPr>
          </w:p>
        </w:tc>
        <w:tc>
          <w:tcPr>
            <w:tcW w:w="1417"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开展活动数量</w:t>
            </w:r>
          </w:p>
        </w:tc>
        <w:tc>
          <w:tcPr>
            <w:tcW w:w="737"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3</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2</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1</w:t>
            </w:r>
          </w:p>
        </w:tc>
        <w:tc>
          <w:tcPr>
            <w:tcW w:w="737" w:type="dxa"/>
            <w:vAlign w:val="center"/>
          </w:tcPr>
          <w:p>
            <w:pPr>
              <w:spacing w:line="300" w:lineRule="exact"/>
              <w:jc w:val="center"/>
              <w:rPr>
                <w:rFonts w:ascii="方正书宋_GBK" w:eastAsia="方正书宋_GBK"/>
                <w:sz w:val="24"/>
                <w:szCs w:val="24"/>
              </w:rPr>
            </w:pPr>
            <w:r>
              <w:rPr>
                <w:rFonts w:ascii="方正书宋_GBK" w:eastAsia="方正书宋_GBK"/>
                <w:sz w:val="24"/>
                <w:szCs w:val="24"/>
              </w:rPr>
              <w:t>0</w:t>
            </w:r>
          </w:p>
        </w:tc>
      </w:tr>
    </w:tbl>
    <w:p>
      <w:pPr>
        <w:spacing w:line="300" w:lineRule="exact"/>
        <w:jc w:val="left"/>
        <w:outlineLvl w:val="0"/>
        <w:rPr>
          <w:sz w:val="32"/>
          <w:szCs w:val="32"/>
        </w:rPr>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Times New Roman" w:hAnsi="Times New Roman"/>
          <w:sz w:val="32"/>
          <w:szCs w:val="32"/>
        </w:rPr>
      </w:pPr>
      <w:bookmarkStart w:id="2" w:name="_Toc471398468"/>
      <w:r>
        <w:rPr>
          <w:rFonts w:ascii="方正小标宋_GBK" w:hAnsi="Times New Roman" w:eastAsia="方正小标宋_GBK"/>
          <w:sz w:val="32"/>
          <w:szCs w:val="32"/>
        </w:rPr>
        <w:t xml:space="preserve"> </w:t>
      </w:r>
      <w:r>
        <w:rPr>
          <w:rFonts w:ascii="Times New Roman" w:hAnsi="Times New Roman"/>
          <w:sz w:val="32"/>
          <w:szCs w:val="32"/>
        </w:rPr>
        <w:t xml:space="preserve">   2017</w:t>
      </w:r>
      <w:r>
        <w:rPr>
          <w:rFonts w:hint="eastAsia" w:ascii="宋体" w:hAnsi="宋体" w:cs="宋体"/>
          <w:sz w:val="32"/>
          <w:szCs w:val="32"/>
        </w:rPr>
        <w:t>年，我院安排政府采购预算</w:t>
      </w:r>
      <w:r>
        <w:rPr>
          <w:rFonts w:ascii="Times New Roman" w:hAnsi="Times New Roman"/>
          <w:sz w:val="32"/>
          <w:szCs w:val="32"/>
        </w:rPr>
        <w:t>12.82</w:t>
      </w:r>
      <w:r>
        <w:rPr>
          <w:rFonts w:hint="eastAsia" w:ascii="宋体" w:hAnsi="宋体" w:cs="宋体"/>
          <w:sz w:val="32"/>
          <w:szCs w:val="32"/>
        </w:rPr>
        <w:t>万元。具体内容见下表。</w:t>
      </w:r>
    </w:p>
    <w:p>
      <w:pPr>
        <w:jc w:val="center"/>
        <w:outlineLvl w:val="0"/>
        <w:rPr>
          <w:rFonts w:ascii="方正小标宋_GBK" w:eastAsia="方正小标宋_GBK"/>
          <w:sz w:val="32"/>
          <w:szCs w:val="32"/>
        </w:rPr>
      </w:pPr>
      <w:bookmarkStart w:id="3" w:name="_Toc471318984"/>
      <w:r>
        <w:rPr>
          <w:rFonts w:hint="eastAsia" w:ascii="方正小标宋_GBK" w:eastAsia="方正小标宋_GBK"/>
          <w:sz w:val="32"/>
          <w:szCs w:val="32"/>
        </w:rPr>
        <w:t>部门政府采购预算</w:t>
      </w:r>
      <w:bookmarkEnd w:id="3"/>
    </w:p>
    <w:tbl>
      <w:tblPr>
        <w:tblStyle w:val="8"/>
        <w:tblW w:w="15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5"/>
        <w:gridCol w:w="1138"/>
        <w:gridCol w:w="941"/>
        <w:gridCol w:w="1349"/>
        <w:gridCol w:w="941"/>
        <w:gridCol w:w="941"/>
        <w:gridCol w:w="963"/>
        <w:gridCol w:w="942"/>
        <w:gridCol w:w="942"/>
        <w:gridCol w:w="942"/>
        <w:gridCol w:w="942"/>
        <w:gridCol w:w="942"/>
        <w:gridCol w:w="942"/>
        <w:gridCol w:w="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81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sz w:val="24"/>
                <w:szCs w:val="24"/>
              </w:rPr>
              <w:t>485</w:t>
            </w:r>
            <w:r>
              <w:rPr>
                <w:rFonts w:hint="eastAsia" w:ascii="方正小标宋_GBK" w:eastAsia="方正小标宋_GBK"/>
                <w:sz w:val="24"/>
                <w:szCs w:val="24"/>
              </w:rPr>
              <w:t>河北省社会主义学院</w:t>
            </w:r>
          </w:p>
        </w:tc>
        <w:tc>
          <w:tcPr>
            <w:tcW w:w="653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683" w:type="dxa"/>
            <w:gridSpan w:val="2"/>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政府采购项目来源</w:t>
            </w:r>
          </w:p>
        </w:tc>
        <w:tc>
          <w:tcPr>
            <w:tcW w:w="941"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采购物品名称</w:t>
            </w:r>
          </w:p>
        </w:tc>
        <w:tc>
          <w:tcPr>
            <w:tcW w:w="1349"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政府采购目录序号</w:t>
            </w:r>
          </w:p>
        </w:tc>
        <w:tc>
          <w:tcPr>
            <w:tcW w:w="941"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数量</w:t>
            </w:r>
            <w:r>
              <w:rPr>
                <w:rFonts w:ascii="方正书宋_GBK" w:eastAsia="方正书宋_GBK"/>
                <w:b/>
                <w:sz w:val="24"/>
                <w:szCs w:val="24"/>
              </w:rPr>
              <w:t xml:space="preserve">  </w:t>
            </w:r>
            <w:r>
              <w:rPr>
                <w:rFonts w:hint="eastAsia" w:ascii="方正书宋_GBK" w:eastAsia="方正书宋_GBK"/>
                <w:b/>
                <w:sz w:val="24"/>
                <w:szCs w:val="24"/>
              </w:rPr>
              <w:t>单位</w:t>
            </w:r>
          </w:p>
        </w:tc>
        <w:tc>
          <w:tcPr>
            <w:tcW w:w="941"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数量</w:t>
            </w:r>
          </w:p>
        </w:tc>
        <w:tc>
          <w:tcPr>
            <w:tcW w:w="963"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单价</w:t>
            </w:r>
          </w:p>
        </w:tc>
        <w:tc>
          <w:tcPr>
            <w:tcW w:w="6539" w:type="dxa"/>
            <w:gridSpan w:val="7"/>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545"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项目名称</w:t>
            </w:r>
          </w:p>
        </w:tc>
        <w:tc>
          <w:tcPr>
            <w:tcW w:w="1138"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预算资金</w:t>
            </w:r>
          </w:p>
        </w:tc>
        <w:tc>
          <w:tcPr>
            <w:tcW w:w="941" w:type="dxa"/>
            <w:vMerge w:val="continue"/>
            <w:vAlign w:val="center"/>
          </w:tcPr>
          <w:p>
            <w:pPr>
              <w:spacing w:line="300" w:lineRule="exact"/>
              <w:jc w:val="left"/>
              <w:outlineLvl w:val="0"/>
              <w:rPr>
                <w:sz w:val="24"/>
                <w:szCs w:val="24"/>
              </w:rPr>
            </w:pPr>
          </w:p>
        </w:tc>
        <w:tc>
          <w:tcPr>
            <w:tcW w:w="1349" w:type="dxa"/>
            <w:vMerge w:val="continue"/>
            <w:vAlign w:val="center"/>
          </w:tcPr>
          <w:p>
            <w:pPr>
              <w:spacing w:line="300" w:lineRule="exact"/>
              <w:jc w:val="left"/>
              <w:outlineLvl w:val="0"/>
              <w:rPr>
                <w:sz w:val="24"/>
                <w:szCs w:val="24"/>
              </w:rPr>
            </w:pPr>
          </w:p>
        </w:tc>
        <w:tc>
          <w:tcPr>
            <w:tcW w:w="941" w:type="dxa"/>
            <w:vMerge w:val="continue"/>
            <w:vAlign w:val="center"/>
          </w:tcPr>
          <w:p>
            <w:pPr>
              <w:spacing w:line="300" w:lineRule="exact"/>
              <w:jc w:val="left"/>
              <w:outlineLvl w:val="0"/>
              <w:rPr>
                <w:sz w:val="24"/>
                <w:szCs w:val="24"/>
              </w:rPr>
            </w:pPr>
          </w:p>
        </w:tc>
        <w:tc>
          <w:tcPr>
            <w:tcW w:w="941" w:type="dxa"/>
            <w:vMerge w:val="continue"/>
            <w:vAlign w:val="center"/>
          </w:tcPr>
          <w:p>
            <w:pPr>
              <w:spacing w:line="300" w:lineRule="exact"/>
              <w:jc w:val="left"/>
              <w:outlineLvl w:val="0"/>
              <w:rPr>
                <w:sz w:val="24"/>
                <w:szCs w:val="24"/>
              </w:rPr>
            </w:pPr>
          </w:p>
        </w:tc>
        <w:tc>
          <w:tcPr>
            <w:tcW w:w="963" w:type="dxa"/>
            <w:vMerge w:val="continue"/>
            <w:vAlign w:val="center"/>
          </w:tcPr>
          <w:p>
            <w:pPr>
              <w:spacing w:line="300" w:lineRule="exact"/>
              <w:jc w:val="left"/>
              <w:outlineLvl w:val="0"/>
              <w:rPr>
                <w:sz w:val="24"/>
                <w:szCs w:val="24"/>
              </w:rPr>
            </w:pPr>
          </w:p>
        </w:tc>
        <w:tc>
          <w:tcPr>
            <w:tcW w:w="942"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总计</w:t>
            </w:r>
          </w:p>
        </w:tc>
        <w:tc>
          <w:tcPr>
            <w:tcW w:w="4710" w:type="dxa"/>
            <w:gridSpan w:val="5"/>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当年部门预算安排资金</w:t>
            </w:r>
          </w:p>
        </w:tc>
        <w:tc>
          <w:tcPr>
            <w:tcW w:w="887"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545" w:type="dxa"/>
            <w:vMerge w:val="continue"/>
            <w:vAlign w:val="center"/>
          </w:tcPr>
          <w:p>
            <w:pPr>
              <w:spacing w:line="300" w:lineRule="exact"/>
              <w:jc w:val="left"/>
              <w:outlineLvl w:val="0"/>
              <w:rPr>
                <w:sz w:val="24"/>
                <w:szCs w:val="24"/>
              </w:rPr>
            </w:pPr>
          </w:p>
        </w:tc>
        <w:tc>
          <w:tcPr>
            <w:tcW w:w="1138" w:type="dxa"/>
            <w:vMerge w:val="continue"/>
            <w:vAlign w:val="center"/>
          </w:tcPr>
          <w:p>
            <w:pPr>
              <w:spacing w:line="300" w:lineRule="exact"/>
              <w:jc w:val="left"/>
              <w:outlineLvl w:val="0"/>
              <w:rPr>
                <w:sz w:val="24"/>
                <w:szCs w:val="24"/>
              </w:rPr>
            </w:pPr>
          </w:p>
        </w:tc>
        <w:tc>
          <w:tcPr>
            <w:tcW w:w="941" w:type="dxa"/>
            <w:vMerge w:val="continue"/>
            <w:vAlign w:val="center"/>
          </w:tcPr>
          <w:p>
            <w:pPr>
              <w:spacing w:line="300" w:lineRule="exact"/>
              <w:jc w:val="left"/>
              <w:outlineLvl w:val="0"/>
              <w:rPr>
                <w:sz w:val="24"/>
                <w:szCs w:val="24"/>
              </w:rPr>
            </w:pPr>
          </w:p>
        </w:tc>
        <w:tc>
          <w:tcPr>
            <w:tcW w:w="1349" w:type="dxa"/>
            <w:vMerge w:val="continue"/>
            <w:vAlign w:val="center"/>
          </w:tcPr>
          <w:p>
            <w:pPr>
              <w:spacing w:line="300" w:lineRule="exact"/>
              <w:jc w:val="left"/>
              <w:outlineLvl w:val="0"/>
              <w:rPr>
                <w:sz w:val="24"/>
                <w:szCs w:val="24"/>
              </w:rPr>
            </w:pPr>
          </w:p>
        </w:tc>
        <w:tc>
          <w:tcPr>
            <w:tcW w:w="941" w:type="dxa"/>
            <w:vMerge w:val="continue"/>
            <w:vAlign w:val="center"/>
          </w:tcPr>
          <w:p>
            <w:pPr>
              <w:spacing w:line="300" w:lineRule="exact"/>
              <w:jc w:val="left"/>
              <w:outlineLvl w:val="0"/>
              <w:rPr>
                <w:sz w:val="24"/>
                <w:szCs w:val="24"/>
              </w:rPr>
            </w:pPr>
          </w:p>
        </w:tc>
        <w:tc>
          <w:tcPr>
            <w:tcW w:w="941" w:type="dxa"/>
            <w:vMerge w:val="continue"/>
            <w:vAlign w:val="center"/>
          </w:tcPr>
          <w:p>
            <w:pPr>
              <w:spacing w:line="300" w:lineRule="exact"/>
              <w:jc w:val="left"/>
              <w:outlineLvl w:val="0"/>
              <w:rPr>
                <w:sz w:val="24"/>
                <w:szCs w:val="24"/>
              </w:rPr>
            </w:pPr>
          </w:p>
        </w:tc>
        <w:tc>
          <w:tcPr>
            <w:tcW w:w="963" w:type="dxa"/>
            <w:vMerge w:val="continue"/>
            <w:vAlign w:val="center"/>
          </w:tcPr>
          <w:p>
            <w:pPr>
              <w:spacing w:line="300" w:lineRule="exact"/>
              <w:jc w:val="left"/>
              <w:outlineLvl w:val="0"/>
              <w:rPr>
                <w:sz w:val="24"/>
                <w:szCs w:val="24"/>
              </w:rPr>
            </w:pPr>
          </w:p>
        </w:tc>
        <w:tc>
          <w:tcPr>
            <w:tcW w:w="942" w:type="dxa"/>
            <w:vMerge w:val="continue"/>
            <w:vAlign w:val="center"/>
          </w:tcPr>
          <w:p>
            <w:pPr>
              <w:spacing w:line="300" w:lineRule="exact"/>
              <w:jc w:val="left"/>
              <w:outlineLvl w:val="0"/>
              <w:rPr>
                <w:sz w:val="24"/>
                <w:szCs w:val="24"/>
              </w:rPr>
            </w:pPr>
          </w:p>
        </w:tc>
        <w:tc>
          <w:tcPr>
            <w:tcW w:w="942"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合计</w:t>
            </w:r>
          </w:p>
        </w:tc>
        <w:tc>
          <w:tcPr>
            <w:tcW w:w="942"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一般公共预算拨款</w:t>
            </w:r>
          </w:p>
        </w:tc>
        <w:tc>
          <w:tcPr>
            <w:tcW w:w="942"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基金预算拨款</w:t>
            </w:r>
          </w:p>
        </w:tc>
        <w:tc>
          <w:tcPr>
            <w:tcW w:w="942"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财政专户核拨</w:t>
            </w:r>
          </w:p>
        </w:tc>
        <w:tc>
          <w:tcPr>
            <w:tcW w:w="942"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其他来源收入</w:t>
            </w:r>
          </w:p>
        </w:tc>
        <w:tc>
          <w:tcPr>
            <w:tcW w:w="887" w:type="dxa"/>
            <w:vMerge w:val="continue"/>
            <w:vAlign w:val="center"/>
          </w:tcPr>
          <w:p>
            <w:pPr>
              <w:spacing w:line="300" w:lineRule="exact"/>
              <w:jc w:val="left"/>
              <w:outlineLvl w:val="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合　计</w:t>
            </w:r>
          </w:p>
        </w:tc>
        <w:tc>
          <w:tcPr>
            <w:tcW w:w="1138" w:type="dxa"/>
            <w:vAlign w:val="center"/>
          </w:tcPr>
          <w:p>
            <w:pPr>
              <w:spacing w:line="300" w:lineRule="exact"/>
              <w:jc w:val="right"/>
              <w:rPr>
                <w:rFonts w:ascii="方正书宋_GBK" w:eastAsia="方正书宋_GBK"/>
                <w:b/>
                <w:sz w:val="24"/>
                <w:szCs w:val="24"/>
              </w:rPr>
            </w:pPr>
          </w:p>
        </w:tc>
        <w:tc>
          <w:tcPr>
            <w:tcW w:w="941" w:type="dxa"/>
            <w:vAlign w:val="center"/>
          </w:tcPr>
          <w:p>
            <w:pPr>
              <w:spacing w:line="300" w:lineRule="exact"/>
              <w:jc w:val="left"/>
              <w:rPr>
                <w:rFonts w:ascii="方正书宋_GBK" w:eastAsia="方正书宋_GBK"/>
                <w:b/>
                <w:sz w:val="24"/>
                <w:szCs w:val="24"/>
              </w:rPr>
            </w:pPr>
          </w:p>
        </w:tc>
        <w:tc>
          <w:tcPr>
            <w:tcW w:w="1349" w:type="dxa"/>
            <w:vAlign w:val="center"/>
          </w:tcPr>
          <w:p>
            <w:pPr>
              <w:spacing w:line="300" w:lineRule="exact"/>
              <w:jc w:val="left"/>
              <w:rPr>
                <w:rFonts w:ascii="方正书宋_GBK" w:eastAsia="方正书宋_GBK"/>
                <w:b/>
                <w:sz w:val="24"/>
                <w:szCs w:val="24"/>
              </w:rPr>
            </w:pPr>
          </w:p>
        </w:tc>
        <w:tc>
          <w:tcPr>
            <w:tcW w:w="941" w:type="dxa"/>
            <w:vAlign w:val="center"/>
          </w:tcPr>
          <w:p>
            <w:pPr>
              <w:spacing w:line="300" w:lineRule="exact"/>
              <w:jc w:val="left"/>
              <w:rPr>
                <w:rFonts w:ascii="方正书宋_GBK" w:eastAsia="方正书宋_GBK"/>
                <w:b/>
                <w:sz w:val="24"/>
                <w:szCs w:val="24"/>
              </w:rPr>
            </w:pPr>
          </w:p>
        </w:tc>
        <w:tc>
          <w:tcPr>
            <w:tcW w:w="941" w:type="dxa"/>
            <w:vAlign w:val="center"/>
          </w:tcPr>
          <w:p>
            <w:pPr>
              <w:spacing w:line="300" w:lineRule="exact"/>
              <w:jc w:val="right"/>
              <w:rPr>
                <w:rFonts w:ascii="方正书宋_GBK" w:eastAsia="方正书宋_GBK"/>
                <w:b/>
                <w:sz w:val="24"/>
                <w:szCs w:val="24"/>
              </w:rPr>
            </w:pPr>
          </w:p>
        </w:tc>
        <w:tc>
          <w:tcPr>
            <w:tcW w:w="963"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12.82</w:t>
            </w: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12.82</w:t>
            </w: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9.97</w:t>
            </w: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2.85</w:t>
            </w:r>
          </w:p>
        </w:tc>
        <w:tc>
          <w:tcPr>
            <w:tcW w:w="887" w:type="dxa"/>
            <w:vAlign w:val="center"/>
          </w:tcPr>
          <w:p>
            <w:pPr>
              <w:spacing w:line="300" w:lineRule="exact"/>
              <w:jc w:val="right"/>
              <w:rPr>
                <w:rFonts w:ascii="方正书宋_GBK" w:eastAsia="方正书宋_GBK"/>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河北省社会主义学院（行政）小计</w:t>
            </w:r>
          </w:p>
        </w:tc>
        <w:tc>
          <w:tcPr>
            <w:tcW w:w="1138" w:type="dxa"/>
            <w:vAlign w:val="center"/>
          </w:tcPr>
          <w:p>
            <w:pPr>
              <w:spacing w:line="300" w:lineRule="exact"/>
              <w:jc w:val="right"/>
              <w:rPr>
                <w:rFonts w:ascii="方正书宋_GBK" w:eastAsia="方正书宋_GBK"/>
                <w:b/>
                <w:sz w:val="24"/>
                <w:szCs w:val="24"/>
              </w:rPr>
            </w:pPr>
          </w:p>
        </w:tc>
        <w:tc>
          <w:tcPr>
            <w:tcW w:w="941" w:type="dxa"/>
            <w:vAlign w:val="center"/>
          </w:tcPr>
          <w:p>
            <w:pPr>
              <w:spacing w:line="300" w:lineRule="exact"/>
              <w:jc w:val="left"/>
              <w:rPr>
                <w:rFonts w:ascii="方正书宋_GBK" w:eastAsia="方正书宋_GBK"/>
                <w:b/>
                <w:sz w:val="24"/>
                <w:szCs w:val="24"/>
              </w:rPr>
            </w:pPr>
          </w:p>
        </w:tc>
        <w:tc>
          <w:tcPr>
            <w:tcW w:w="1349" w:type="dxa"/>
            <w:vAlign w:val="center"/>
          </w:tcPr>
          <w:p>
            <w:pPr>
              <w:spacing w:line="300" w:lineRule="exact"/>
              <w:jc w:val="left"/>
              <w:rPr>
                <w:rFonts w:ascii="方正书宋_GBK" w:eastAsia="方正书宋_GBK"/>
                <w:b/>
                <w:sz w:val="24"/>
                <w:szCs w:val="24"/>
              </w:rPr>
            </w:pPr>
          </w:p>
        </w:tc>
        <w:tc>
          <w:tcPr>
            <w:tcW w:w="941" w:type="dxa"/>
            <w:vAlign w:val="center"/>
          </w:tcPr>
          <w:p>
            <w:pPr>
              <w:spacing w:line="300" w:lineRule="exact"/>
              <w:jc w:val="left"/>
              <w:rPr>
                <w:rFonts w:ascii="方正书宋_GBK" w:eastAsia="方正书宋_GBK"/>
                <w:b/>
                <w:sz w:val="24"/>
                <w:szCs w:val="24"/>
              </w:rPr>
            </w:pPr>
          </w:p>
        </w:tc>
        <w:tc>
          <w:tcPr>
            <w:tcW w:w="941" w:type="dxa"/>
            <w:vAlign w:val="center"/>
          </w:tcPr>
          <w:p>
            <w:pPr>
              <w:spacing w:line="300" w:lineRule="exact"/>
              <w:jc w:val="right"/>
              <w:rPr>
                <w:rFonts w:ascii="方正书宋_GBK" w:eastAsia="方正书宋_GBK"/>
                <w:b/>
                <w:sz w:val="24"/>
                <w:szCs w:val="24"/>
              </w:rPr>
            </w:pPr>
          </w:p>
        </w:tc>
        <w:tc>
          <w:tcPr>
            <w:tcW w:w="963"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9.97</w:t>
            </w: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9.97</w:t>
            </w: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9.97</w:t>
            </w: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p>
        </w:tc>
        <w:tc>
          <w:tcPr>
            <w:tcW w:w="887" w:type="dxa"/>
            <w:vAlign w:val="center"/>
          </w:tcPr>
          <w:p>
            <w:pPr>
              <w:spacing w:line="300" w:lineRule="exact"/>
              <w:jc w:val="right"/>
              <w:rPr>
                <w:rFonts w:ascii="方正书宋_GBK" w:eastAsia="方正书宋_GBK"/>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组</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0.40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0.40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0.40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个</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个</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套</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张</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把</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投影仪</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A020202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套</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2.85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2.85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2.85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2.85</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投影幕</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A020203</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个</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0.15</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复印机</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A020201</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台</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传真通信设备</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A02081001</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台</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0.16</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0.32</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0.32</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0.32</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打印设备</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A02010601</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台</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6</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0.22</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1.32</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1.32</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1.32</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247.82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计算机设备</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A020101</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台</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0.47</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1.88</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1.88</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1.88</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河北省社会主义学院（事业）小计</w:t>
            </w:r>
          </w:p>
        </w:tc>
        <w:tc>
          <w:tcPr>
            <w:tcW w:w="1138" w:type="dxa"/>
            <w:vAlign w:val="center"/>
          </w:tcPr>
          <w:p>
            <w:pPr>
              <w:spacing w:line="300" w:lineRule="exact"/>
              <w:jc w:val="right"/>
              <w:rPr>
                <w:rFonts w:ascii="方正书宋_GBK" w:eastAsia="方正书宋_GBK"/>
                <w:b/>
                <w:sz w:val="24"/>
                <w:szCs w:val="24"/>
              </w:rPr>
            </w:pPr>
          </w:p>
        </w:tc>
        <w:tc>
          <w:tcPr>
            <w:tcW w:w="941" w:type="dxa"/>
            <w:vAlign w:val="center"/>
          </w:tcPr>
          <w:p>
            <w:pPr>
              <w:spacing w:line="300" w:lineRule="exact"/>
              <w:jc w:val="left"/>
              <w:rPr>
                <w:rFonts w:ascii="方正书宋_GBK" w:eastAsia="方正书宋_GBK"/>
                <w:b/>
                <w:sz w:val="24"/>
                <w:szCs w:val="24"/>
              </w:rPr>
            </w:pPr>
          </w:p>
        </w:tc>
        <w:tc>
          <w:tcPr>
            <w:tcW w:w="1349" w:type="dxa"/>
            <w:vAlign w:val="center"/>
          </w:tcPr>
          <w:p>
            <w:pPr>
              <w:spacing w:line="300" w:lineRule="exact"/>
              <w:jc w:val="left"/>
              <w:rPr>
                <w:rFonts w:ascii="方正书宋_GBK" w:eastAsia="方正书宋_GBK"/>
                <w:b/>
                <w:sz w:val="24"/>
                <w:szCs w:val="24"/>
              </w:rPr>
            </w:pPr>
          </w:p>
        </w:tc>
        <w:tc>
          <w:tcPr>
            <w:tcW w:w="941" w:type="dxa"/>
            <w:vAlign w:val="center"/>
          </w:tcPr>
          <w:p>
            <w:pPr>
              <w:spacing w:line="300" w:lineRule="exact"/>
              <w:jc w:val="left"/>
              <w:rPr>
                <w:rFonts w:ascii="方正书宋_GBK" w:eastAsia="方正书宋_GBK"/>
                <w:b/>
                <w:sz w:val="24"/>
                <w:szCs w:val="24"/>
              </w:rPr>
            </w:pPr>
          </w:p>
        </w:tc>
        <w:tc>
          <w:tcPr>
            <w:tcW w:w="941" w:type="dxa"/>
            <w:vAlign w:val="center"/>
          </w:tcPr>
          <w:p>
            <w:pPr>
              <w:spacing w:line="300" w:lineRule="exact"/>
              <w:jc w:val="right"/>
              <w:rPr>
                <w:rFonts w:ascii="方正书宋_GBK" w:eastAsia="方正书宋_GBK"/>
                <w:b/>
                <w:sz w:val="24"/>
                <w:szCs w:val="24"/>
              </w:rPr>
            </w:pPr>
          </w:p>
        </w:tc>
        <w:tc>
          <w:tcPr>
            <w:tcW w:w="963"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2.85</w:t>
            </w: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2.85</w:t>
            </w: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p>
        </w:tc>
        <w:tc>
          <w:tcPr>
            <w:tcW w:w="942"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2.85</w:t>
            </w:r>
          </w:p>
        </w:tc>
        <w:tc>
          <w:tcPr>
            <w:tcW w:w="887" w:type="dxa"/>
            <w:vAlign w:val="center"/>
          </w:tcPr>
          <w:p>
            <w:pPr>
              <w:spacing w:line="300" w:lineRule="exact"/>
              <w:jc w:val="right"/>
              <w:rPr>
                <w:rFonts w:ascii="方正书宋_GBK" w:eastAsia="方正书宋_GBK"/>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17.62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个</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0.20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2.20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2.20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2.20</w:t>
            </w: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17.62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个</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0.30</w:t>
            </w:r>
          </w:p>
        </w:tc>
        <w:tc>
          <w:tcPr>
            <w:tcW w:w="887"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45"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日常公用经费</w:t>
            </w:r>
          </w:p>
        </w:tc>
        <w:tc>
          <w:tcPr>
            <w:tcW w:w="1138"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17.62</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家具用具</w:t>
            </w:r>
          </w:p>
        </w:tc>
        <w:tc>
          <w:tcPr>
            <w:tcW w:w="1349"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A06</w:t>
            </w:r>
          </w:p>
        </w:tc>
        <w:tc>
          <w:tcPr>
            <w:tcW w:w="94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个</w:t>
            </w:r>
          </w:p>
        </w:tc>
        <w:tc>
          <w:tcPr>
            <w:tcW w:w="941"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5</w:t>
            </w:r>
          </w:p>
        </w:tc>
        <w:tc>
          <w:tcPr>
            <w:tcW w:w="963"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0.07</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p>
        </w:tc>
        <w:tc>
          <w:tcPr>
            <w:tcW w:w="942"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0.35</w:t>
            </w:r>
          </w:p>
        </w:tc>
        <w:tc>
          <w:tcPr>
            <w:tcW w:w="887" w:type="dxa"/>
            <w:vAlign w:val="center"/>
          </w:tcPr>
          <w:p>
            <w:pPr>
              <w:spacing w:line="300" w:lineRule="exact"/>
              <w:jc w:val="right"/>
              <w:rPr>
                <w:rFonts w:ascii="方正书宋_GBK" w:eastAsia="方正书宋_GBK"/>
                <w:sz w:val="24"/>
                <w:szCs w:val="24"/>
              </w:rPr>
            </w:pPr>
          </w:p>
        </w:tc>
      </w:tr>
    </w:tbl>
    <w:p>
      <w:pPr>
        <w:spacing w:line="300" w:lineRule="exact"/>
        <w:jc w:val="left"/>
        <w:outlineLvl w:val="0"/>
        <w:rPr>
          <w:sz w:val="24"/>
          <w:szCs w:val="24"/>
        </w:rPr>
        <w:sectPr>
          <w:pgSz w:w="16839" w:h="11907" w:orient="landscape"/>
          <w:pgMar w:top="1361" w:right="1020" w:bottom="1361" w:left="1020" w:header="851" w:footer="992" w:gutter="0"/>
          <w:cols w:space="425" w:num="1"/>
          <w:docGrid w:type="lines" w:linePitch="312" w:charSpace="0"/>
        </w:sectPr>
      </w:pPr>
    </w:p>
    <w:bookmarkEnd w:id="2"/>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七、国有资产信息</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ind w:firstLine="640"/>
              <w:rPr>
                <w:rFonts w:ascii="宋体" w:cs="宋体"/>
                <w:b/>
                <w:bCs/>
                <w:kern w:val="0"/>
                <w:sz w:val="32"/>
                <w:szCs w:val="32"/>
              </w:rPr>
            </w:pPr>
            <w:r>
              <w:rPr>
                <w:rFonts w:hint="eastAsia" w:ascii="宋体" w:hAnsi="宋体" w:cs="宋体"/>
                <w:sz w:val="32"/>
                <w:szCs w:val="32"/>
              </w:rPr>
              <w:t>河北省社会主义学院（含所属单位）上年末固定资产金额为</w:t>
            </w:r>
            <w:r>
              <w:rPr>
                <w:rFonts w:ascii="宋体" w:hAnsi="宋体" w:cs="宋体"/>
                <w:sz w:val="32"/>
                <w:szCs w:val="32"/>
              </w:rPr>
              <w:t>872.675843</w:t>
            </w:r>
            <w:r>
              <w:rPr>
                <w:rFonts w:hint="eastAsia" w:ascii="宋体" w:hAnsi="宋体" w:cs="宋体"/>
                <w:sz w:val="32"/>
                <w:szCs w:val="32"/>
              </w:rPr>
              <w:t>万元，本年度各单位（处室）拟购置固定资产</w:t>
            </w:r>
            <w:r>
              <w:rPr>
                <w:rFonts w:ascii="宋体" w:hAnsi="宋体" w:cs="宋体"/>
                <w:sz w:val="32"/>
                <w:szCs w:val="32"/>
              </w:rPr>
              <w:t>12.82</w:t>
            </w:r>
            <w:r>
              <w:rPr>
                <w:rFonts w:hint="eastAsia" w:ascii="宋体" w:hAnsi="宋体" w:cs="宋体"/>
                <w:sz w:val="32"/>
                <w:szCs w:val="32"/>
              </w:rPr>
              <w:t>万元，主要为计算机设备、打印设备、投影设备、复印传真设备、办公家具等，已列入政府采购预算。详见下表。</w:t>
            </w:r>
          </w:p>
          <w:p>
            <w:pPr>
              <w:widowControl/>
              <w:jc w:val="center"/>
              <w:rPr>
                <w:rFonts w:ascii="宋体" w:cs="宋体"/>
                <w:b/>
                <w:bCs/>
                <w:kern w:val="0"/>
                <w:sz w:val="32"/>
                <w:szCs w:val="32"/>
              </w:rPr>
            </w:pPr>
            <w:r>
              <w:rPr>
                <w:rFonts w:hint="eastAsia" w:ascii="宋体" w:hAnsi="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32"/>
                <w:szCs w:val="32"/>
              </w:rPr>
            </w:pPr>
            <w:r>
              <w:rPr>
                <w:rFonts w:hint="eastAsia" w:ascii="宋体" w:hAnsi="宋体" w:cs="宋体"/>
                <w:kern w:val="0"/>
                <w:sz w:val="32"/>
                <w:szCs w:val="32"/>
              </w:rPr>
              <w:t>编制部门：河北省社会主义学</w:t>
            </w:r>
          </w:p>
        </w:tc>
        <w:tc>
          <w:tcPr>
            <w:tcW w:w="5103" w:type="dxa"/>
            <w:tcBorders>
              <w:top w:val="nil"/>
              <w:left w:val="nil"/>
              <w:bottom w:val="nil"/>
              <w:right w:val="nil"/>
            </w:tcBorders>
            <w:vAlign w:val="center"/>
          </w:tcPr>
          <w:p>
            <w:pPr>
              <w:widowControl/>
              <w:jc w:val="left"/>
              <w:rPr>
                <w:rFonts w:ascii="宋体" w:cs="宋体"/>
                <w:kern w:val="0"/>
                <w:sz w:val="32"/>
                <w:szCs w:val="32"/>
              </w:rPr>
            </w:pPr>
            <w:r>
              <w:rPr>
                <w:rFonts w:hint="eastAsia" w:ascii="宋体" w:hAnsi="宋体" w:cs="宋体"/>
                <w:kern w:val="0"/>
                <w:sz w:val="32"/>
                <w:szCs w:val="32"/>
              </w:rPr>
              <w:t>截止时间：</w:t>
            </w:r>
            <w:r>
              <w:rPr>
                <w:rFonts w:ascii="宋体" w:hAnsi="宋体" w:cs="宋体"/>
                <w:kern w:val="0"/>
                <w:sz w:val="32"/>
                <w:szCs w:val="32"/>
              </w:rPr>
              <w:t>2016</w:t>
            </w:r>
            <w:r>
              <w:rPr>
                <w:rFonts w:hint="eastAsia" w:ascii="宋体" w:hAnsi="宋体" w:cs="宋体"/>
                <w:kern w:val="0"/>
                <w:sz w:val="32"/>
                <w:szCs w:val="32"/>
              </w:rPr>
              <w:t>年</w:t>
            </w:r>
            <w:r>
              <w:rPr>
                <w:rFonts w:ascii="宋体" w:hAnsi="宋体" w:cs="宋体"/>
                <w:kern w:val="0"/>
                <w:sz w:val="32"/>
                <w:szCs w:val="32"/>
              </w:rPr>
              <w:t>12</w:t>
            </w:r>
            <w:r>
              <w:rPr>
                <w:rFonts w:hint="eastAsia" w:ascii="宋体" w:hAnsi="宋体" w:cs="宋体"/>
                <w:kern w:val="0"/>
                <w:sz w:val="32"/>
                <w:szCs w:val="32"/>
              </w:rPr>
              <w:t>月</w:t>
            </w:r>
            <w:r>
              <w:rPr>
                <w:rFonts w:ascii="宋体" w:hAnsi="宋体" w:cs="宋体"/>
                <w:kern w:val="0"/>
                <w:sz w:val="32"/>
                <w:szCs w:val="32"/>
              </w:rPr>
              <w:t>31</w:t>
            </w:r>
            <w:r>
              <w:rPr>
                <w:rFonts w:hint="eastAsia" w:ascii="宋体" w:hAnsi="宋体" w:cs="宋体"/>
                <w:kern w:val="0"/>
                <w:sz w:val="32"/>
                <w:szCs w:val="32"/>
              </w:rPr>
              <w:t>日</w:t>
            </w:r>
            <w:r>
              <w:rPr>
                <w:rFonts w:ascii="宋体" w:hAnsi="宋体" w:cs="宋体"/>
                <w:kern w:val="0"/>
                <w:sz w:val="32"/>
                <w:szCs w:val="32"/>
              </w:rPr>
              <w:t xml:space="preserve">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项</w:t>
            </w:r>
            <w:r>
              <w:rPr>
                <w:rFonts w:ascii="宋体" w:hAnsi="宋体" w:cs="宋体"/>
                <w:b/>
                <w:bCs/>
                <w:kern w:val="0"/>
                <w:sz w:val="24"/>
                <w:szCs w:val="24"/>
              </w:rPr>
              <w:t xml:space="preserve">   </w:t>
            </w:r>
            <w:r>
              <w:rPr>
                <w:rFonts w:hint="eastAsia" w:ascii="宋体" w:hAnsi="宋体" w:cs="宋体"/>
                <w:b/>
                <w:bCs/>
                <w:kern w:val="0"/>
                <w:sz w:val="24"/>
                <w:szCs w:val="24"/>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价值（金额单位：万元）</w:t>
            </w:r>
          </w:p>
        </w:tc>
      </w:tr>
      <w:tr>
        <w:tblPrEx>
          <w:tblLayout w:type="fixed"/>
          <w:tblCellMar>
            <w:top w:w="0" w:type="dxa"/>
            <w:left w:w="108" w:type="dxa"/>
            <w:bottom w:w="0" w:type="dxa"/>
            <w:right w:w="108" w:type="dxa"/>
          </w:tblCellMar>
        </w:tblPrEx>
        <w:trPr>
          <w:trHeight w:val="61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872.675843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68.02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、单价在</w:t>
            </w:r>
            <w:r>
              <w:rPr>
                <w:rFonts w:ascii="宋体" w:hAnsi="宋体" w:cs="宋体"/>
                <w:kern w:val="0"/>
                <w:sz w:val="24"/>
                <w:szCs w:val="24"/>
              </w:rPr>
              <w:t>20</w:t>
            </w:r>
            <w:r>
              <w:rPr>
                <w:rFonts w:hint="eastAsia" w:ascii="宋体" w:hAnsi="宋体" w:cs="宋体"/>
                <w:kern w:val="0"/>
                <w:sz w:val="24"/>
                <w:szCs w:val="24"/>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108" w:type="dxa"/>
            <w:bottom w:w="0" w:type="dxa"/>
            <w:right w:w="108" w:type="dxa"/>
          </w:tblCellMar>
        </w:tblPrEx>
        <w:trPr>
          <w:trHeight w:val="6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1260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804.655843</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spacing w:line="360" w:lineRule="auto"/>
        <w:ind w:firstLine="640" w:firstLineChars="200"/>
        <w:rPr>
          <w:rFonts w:ascii="宋体" w:cs="宋体"/>
          <w:bCs/>
          <w:color w:val="000000"/>
          <w:kern w:val="0"/>
          <w:sz w:val="32"/>
          <w:szCs w:val="32"/>
        </w:rPr>
      </w:pPr>
      <w:r>
        <w:rPr>
          <w:rFonts w:ascii="宋体" w:hAnsi="宋体" w:cs="宋体"/>
          <w:color w:val="000000"/>
          <w:kern w:val="0"/>
          <w:sz w:val="32"/>
          <w:szCs w:val="32"/>
        </w:rPr>
        <w:t>1</w:t>
      </w:r>
      <w:r>
        <w:rPr>
          <w:rFonts w:hint="eastAsia" w:ascii="宋体" w:hAnsi="宋体" w:cs="宋体"/>
          <w:color w:val="000000"/>
          <w:kern w:val="0"/>
          <w:sz w:val="32"/>
          <w:szCs w:val="32"/>
        </w:rPr>
        <w:t>、</w:t>
      </w:r>
      <w:r>
        <w:rPr>
          <w:rFonts w:hint="eastAsia" w:ascii="宋体" w:hAnsi="宋体" w:cs="宋体"/>
          <w:sz w:val="32"/>
          <w:szCs w:val="32"/>
        </w:rPr>
        <w:t>事业收入：指开展教育培训、文化交流及其辅助活动取得的收入</w:t>
      </w:r>
      <w:r>
        <w:rPr>
          <w:rFonts w:hint="eastAsia" w:ascii="宋体" w:hAnsi="宋体" w:cs="宋体"/>
          <w:bCs/>
          <w:color w:val="000000"/>
          <w:kern w:val="0"/>
          <w:sz w:val="32"/>
          <w:szCs w:val="32"/>
        </w:rPr>
        <w:t>。</w:t>
      </w:r>
    </w:p>
    <w:p>
      <w:pPr>
        <w:spacing w:line="500" w:lineRule="exact"/>
        <w:ind w:firstLine="640" w:firstLineChars="200"/>
        <w:rPr>
          <w:rFonts w:ascii="宋体" w:cs="宋体"/>
          <w:sz w:val="32"/>
          <w:szCs w:val="32"/>
        </w:rPr>
      </w:pPr>
      <w:r>
        <w:rPr>
          <w:rFonts w:ascii="宋体" w:hAnsi="宋体" w:cs="宋体"/>
          <w:color w:val="000000"/>
          <w:kern w:val="0"/>
          <w:sz w:val="32"/>
          <w:szCs w:val="32"/>
        </w:rPr>
        <w:t>2</w:t>
      </w:r>
      <w:r>
        <w:rPr>
          <w:rFonts w:hint="eastAsia" w:ascii="宋体" w:hAnsi="宋体" w:cs="宋体"/>
          <w:color w:val="000000"/>
          <w:kern w:val="0"/>
          <w:sz w:val="32"/>
          <w:szCs w:val="32"/>
        </w:rPr>
        <w:t>、基本支出：</w:t>
      </w:r>
      <w:r>
        <w:rPr>
          <w:rFonts w:hint="eastAsia" w:ascii="宋体" w:hAnsi="宋体" w:cs="宋体"/>
          <w:sz w:val="32"/>
          <w:szCs w:val="32"/>
        </w:rPr>
        <w:t>指为保障机构正常运转和完成日常工作任务而发生的各项支出，包括人员经费和公用经费。</w:t>
      </w:r>
    </w:p>
    <w:p>
      <w:pPr>
        <w:spacing w:line="540" w:lineRule="exact"/>
        <w:ind w:firstLine="640" w:firstLineChars="200"/>
        <w:jc w:val="left"/>
        <w:rPr>
          <w:rFonts w:ascii="宋体" w:cs="宋体"/>
          <w:sz w:val="32"/>
          <w:szCs w:val="32"/>
        </w:rPr>
      </w:pPr>
      <w:r>
        <w:rPr>
          <w:rFonts w:ascii="宋体" w:hAnsi="宋体" w:cs="宋体"/>
          <w:color w:val="000000"/>
          <w:kern w:val="0"/>
          <w:sz w:val="32"/>
          <w:szCs w:val="32"/>
        </w:rPr>
        <w:t>3</w:t>
      </w:r>
      <w:r>
        <w:rPr>
          <w:rFonts w:hint="eastAsia" w:ascii="宋体" w:hAnsi="宋体" w:cs="宋体"/>
          <w:color w:val="000000"/>
          <w:kern w:val="0"/>
          <w:sz w:val="32"/>
          <w:szCs w:val="32"/>
        </w:rPr>
        <w:t>、项目支出：</w:t>
      </w:r>
      <w:r>
        <w:rPr>
          <w:rFonts w:hint="eastAsia" w:ascii="宋体" w:hAnsi="宋体" w:cs="宋体"/>
          <w:sz w:val="32"/>
          <w:szCs w:val="32"/>
        </w:rPr>
        <w:t>指在基本支出之外为完成特定任务和事业发展目标所发生且纳入部门预算项目库的支出。</w:t>
      </w:r>
    </w:p>
    <w:p>
      <w:pPr>
        <w:spacing w:line="540" w:lineRule="exact"/>
        <w:ind w:firstLine="640" w:firstLineChars="200"/>
        <w:jc w:val="left"/>
        <w:rPr>
          <w:rFonts w:ascii="宋体" w:cs="宋体"/>
          <w:sz w:val="32"/>
          <w:szCs w:val="32"/>
        </w:rPr>
      </w:pPr>
      <w:r>
        <w:rPr>
          <w:rFonts w:ascii="宋体" w:hAnsi="宋体" w:cs="宋体"/>
          <w:sz w:val="32"/>
          <w:szCs w:val="32"/>
        </w:rPr>
        <w:t>4</w:t>
      </w:r>
      <w:r>
        <w:rPr>
          <w:rFonts w:hint="eastAsia" w:ascii="宋体" w:hAnsi="宋体" w:cs="宋体"/>
          <w:sz w:val="32"/>
          <w:szCs w:val="32"/>
        </w:rPr>
        <w:t>、“三公”经费支出是指因公出国（境）费、公务用车购置及运行维护费、公务接待费。</w:t>
      </w:r>
    </w:p>
    <w:p>
      <w:pPr>
        <w:spacing w:line="540" w:lineRule="exact"/>
        <w:ind w:firstLine="640" w:firstLineChars="200"/>
        <w:jc w:val="left"/>
        <w:rPr>
          <w:rFonts w:ascii="宋体" w:cs="宋体"/>
          <w:sz w:val="32"/>
          <w:szCs w:val="32"/>
        </w:rPr>
      </w:pPr>
      <w:r>
        <w:rPr>
          <w:rFonts w:hint="eastAsia" w:ascii="宋体" w:hAnsi="宋体" w:cs="宋体"/>
          <w:sz w:val="32"/>
          <w:szCs w:val="32"/>
        </w:rPr>
        <w:t>因公出国（境）费是指单位公务出国（境）的国际旅费、国外城市间交通费、住宿费、伙食费、培训费、公杂费等支出。</w:t>
      </w:r>
    </w:p>
    <w:p>
      <w:pPr>
        <w:spacing w:line="540" w:lineRule="exact"/>
        <w:ind w:firstLine="640" w:firstLineChars="200"/>
        <w:jc w:val="left"/>
        <w:rPr>
          <w:rFonts w:ascii="宋体" w:cs="宋体"/>
          <w:sz w:val="32"/>
          <w:szCs w:val="32"/>
        </w:rPr>
      </w:pPr>
      <w:r>
        <w:rPr>
          <w:rFonts w:hint="eastAsia" w:ascii="宋体" w:hAnsi="宋体" w:cs="宋体"/>
          <w:sz w:val="32"/>
          <w:szCs w:val="32"/>
        </w:rPr>
        <w:t>公务用车运行维护费是指单位公务用车租用费、燃料费、维修费、过桥过路费、保险费、出租车费用等。</w:t>
      </w:r>
    </w:p>
    <w:p>
      <w:pPr>
        <w:spacing w:line="540" w:lineRule="exact"/>
        <w:ind w:firstLine="640" w:firstLineChars="200"/>
        <w:jc w:val="left"/>
        <w:rPr>
          <w:rFonts w:ascii="宋体" w:cs="宋体"/>
          <w:sz w:val="32"/>
          <w:szCs w:val="32"/>
        </w:rPr>
      </w:pPr>
      <w:r>
        <w:rPr>
          <w:rFonts w:hint="eastAsia" w:ascii="宋体" w:hAnsi="宋体" w:cs="宋体"/>
          <w:sz w:val="32"/>
          <w:szCs w:val="32"/>
        </w:rPr>
        <w:t>公务接待费是指单位按规定开支的各类公务接待（含外宾接待）费用。</w:t>
      </w:r>
    </w:p>
    <w:p>
      <w:pPr>
        <w:spacing w:line="540" w:lineRule="exact"/>
        <w:ind w:firstLine="640" w:firstLineChars="200"/>
        <w:jc w:val="left"/>
        <w:rPr>
          <w:rFonts w:ascii="宋体" w:cs="宋体"/>
          <w:sz w:val="32"/>
          <w:szCs w:val="32"/>
        </w:rPr>
      </w:pPr>
      <w:r>
        <w:rPr>
          <w:rFonts w:ascii="宋体" w:hAnsi="宋体" w:cs="宋体"/>
          <w:sz w:val="32"/>
          <w:szCs w:val="32"/>
        </w:rPr>
        <w:t>5</w:t>
      </w:r>
      <w:r>
        <w:rPr>
          <w:rFonts w:hint="eastAsia" w:ascii="宋体" w:hAnsi="宋体" w:cs="宋体"/>
          <w:sz w:val="32"/>
          <w:szCs w:val="32"/>
        </w:rPr>
        <w:t>、机关运行经费是指各部门的公用经费，包括办公及印刷费、邮电费、差旅费、会议费、福利费、日常维修费、专用材料及一般设备购置费、办公用房水电费、办公用房取暖费、办公用房物业管理费、公务车运行维护费及其他费用。</w:t>
      </w:r>
    </w:p>
    <w:p>
      <w:pPr>
        <w:pStyle w:val="11"/>
        <w:spacing w:before="0" w:beforeAutospacing="0" w:after="0" w:afterAutospacing="0" w:line="120" w:lineRule="auto"/>
        <w:ind w:firstLine="627" w:firstLineChars="196"/>
        <w:rPr>
          <w:rStyle w:val="12"/>
          <w:rFonts w:ascii="??_GB2312" w:eastAsia="Times New Roman" w:cs="宋体"/>
          <w:sz w:val="32"/>
          <w:szCs w:val="32"/>
        </w:rPr>
      </w:pPr>
    </w:p>
    <w:p>
      <w:pPr>
        <w:numPr>
          <w:ilvl w:val="0"/>
          <w:numId w:val="0"/>
        </w:numPr>
        <w:tabs>
          <w:tab w:val="clear" w:pos="1720"/>
        </w:tabs>
        <w:autoSpaceDE w:val="0"/>
        <w:autoSpaceDN w:val="0"/>
        <w:adjustRightInd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九、其他需要说明的事项</w:t>
      </w:r>
    </w:p>
    <w:p>
      <w:pPr>
        <w:numPr>
          <w:ilvl w:val="0"/>
          <w:numId w:val="0"/>
        </w:numPr>
        <w:tabs>
          <w:tab w:val="left" w:pos="11490"/>
          <w:tab w:val="clear" w:pos="1720"/>
        </w:tabs>
        <w:rPr>
          <w:rFonts w:hint="eastAsia" w:ascii="黑体" w:hAnsi="黑体" w:eastAsia="黑体" w:cs="黑体"/>
          <w:sz w:val="32"/>
          <w:szCs w:val="32"/>
        </w:rPr>
      </w:pPr>
      <w:r>
        <w:rPr>
          <w:rFonts w:hint="eastAsia" w:ascii="仿宋" w:hAnsi="仿宋" w:eastAsia="仿宋" w:cs="Times New Roman"/>
          <w:b w:val="0"/>
          <w:bCs/>
          <w:sz w:val="32"/>
          <w:szCs w:val="32"/>
          <w:lang w:val="en-US" w:eastAsia="zh-CN"/>
        </w:rPr>
        <w:t xml:space="preserve">    无</w:t>
      </w:r>
    </w:p>
    <w:p>
      <w:pPr>
        <w:tabs>
          <w:tab w:val="left" w:pos="11490"/>
        </w:tabs>
        <w:ind w:firstLine="640" w:firstLineChars="200"/>
        <w:rPr>
          <w:rFonts w:ascii="Times New Roman" w:hAnsi="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仿宋_GBK">
    <w:altName w:val="方正小标宋简体"/>
    <w:panose1 w:val="00000000000000000000"/>
    <w:charset w:val="86"/>
    <w:family w:val="script"/>
    <w:pitch w:val="default"/>
    <w:sig w:usb0="00000000" w:usb1="00000000" w:usb2="00000010" w:usb3="00000000" w:csb0="00040000" w:csb1="00000000"/>
  </w:font>
  <w:font w:name="FZFangSong-Z02">
    <w:altName w:val="Arial"/>
    <w:panose1 w:val="00000000000000000000"/>
    <w:charset w:val="00"/>
    <w:family w:val="decorative"/>
    <w:pitch w:val="default"/>
    <w:sig w:usb0="00000000" w:usb1="00000000" w:usb2="00000000" w:usb3="00000000" w:csb0="0000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FangSong-Z02">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17127473">
    <w:nsid w:val="72450B31"/>
    <w:multiLevelType w:val="multilevel"/>
    <w:tmpl w:val="72450B31"/>
    <w:lvl w:ilvl="0" w:tentative="1">
      <w:start w:val="1"/>
      <w:numFmt w:val="japaneseCounting"/>
      <w:lvlText w:val="（%1）"/>
      <w:lvlJc w:val="left"/>
      <w:pPr>
        <w:tabs>
          <w:tab w:val="left" w:pos="1720"/>
        </w:tabs>
        <w:ind w:left="1720" w:hanging="1080"/>
      </w:pPr>
      <w:rPr>
        <w:rFonts w:hint="default" w:cs="Times New Roman"/>
      </w:rPr>
    </w:lvl>
    <w:lvl w:ilvl="1" w:tentative="1">
      <w:start w:val="1"/>
      <w:numFmt w:val="lowerLetter"/>
      <w:lvlText w:val="%2)"/>
      <w:lvlJc w:val="left"/>
      <w:pPr>
        <w:tabs>
          <w:tab w:val="left" w:pos="1480"/>
        </w:tabs>
        <w:ind w:left="1480" w:hanging="420"/>
      </w:pPr>
      <w:rPr>
        <w:rFonts w:cs="Times New Roman"/>
      </w:rPr>
    </w:lvl>
    <w:lvl w:ilvl="2" w:tentative="1">
      <w:start w:val="1"/>
      <w:numFmt w:val="lowerRoman"/>
      <w:lvlText w:val="%3."/>
      <w:lvlJc w:val="right"/>
      <w:pPr>
        <w:tabs>
          <w:tab w:val="left" w:pos="1900"/>
        </w:tabs>
        <w:ind w:left="1900" w:hanging="420"/>
      </w:pPr>
      <w:rPr>
        <w:rFonts w:cs="Times New Roman"/>
      </w:rPr>
    </w:lvl>
    <w:lvl w:ilvl="3" w:tentative="1">
      <w:start w:val="1"/>
      <w:numFmt w:val="decimal"/>
      <w:lvlText w:val="%4."/>
      <w:lvlJc w:val="left"/>
      <w:pPr>
        <w:tabs>
          <w:tab w:val="left" w:pos="2320"/>
        </w:tabs>
        <w:ind w:left="2320" w:hanging="420"/>
      </w:pPr>
      <w:rPr>
        <w:rFonts w:cs="Times New Roman"/>
      </w:rPr>
    </w:lvl>
    <w:lvl w:ilvl="4" w:tentative="1">
      <w:start w:val="1"/>
      <w:numFmt w:val="lowerLetter"/>
      <w:lvlText w:val="%5)"/>
      <w:lvlJc w:val="left"/>
      <w:pPr>
        <w:tabs>
          <w:tab w:val="left" w:pos="2740"/>
        </w:tabs>
        <w:ind w:left="2740" w:hanging="420"/>
      </w:pPr>
      <w:rPr>
        <w:rFonts w:cs="Times New Roman"/>
      </w:rPr>
    </w:lvl>
    <w:lvl w:ilvl="5" w:tentative="1">
      <w:start w:val="1"/>
      <w:numFmt w:val="lowerRoman"/>
      <w:lvlText w:val="%6."/>
      <w:lvlJc w:val="right"/>
      <w:pPr>
        <w:tabs>
          <w:tab w:val="left" w:pos="3160"/>
        </w:tabs>
        <w:ind w:left="3160" w:hanging="420"/>
      </w:pPr>
      <w:rPr>
        <w:rFonts w:cs="Times New Roman"/>
      </w:rPr>
    </w:lvl>
    <w:lvl w:ilvl="6" w:tentative="1">
      <w:start w:val="1"/>
      <w:numFmt w:val="decimal"/>
      <w:lvlText w:val="%7."/>
      <w:lvlJc w:val="left"/>
      <w:pPr>
        <w:tabs>
          <w:tab w:val="left" w:pos="3580"/>
        </w:tabs>
        <w:ind w:left="3580" w:hanging="420"/>
      </w:pPr>
      <w:rPr>
        <w:rFonts w:cs="Times New Roman"/>
      </w:rPr>
    </w:lvl>
    <w:lvl w:ilvl="7" w:tentative="1">
      <w:start w:val="1"/>
      <w:numFmt w:val="lowerLetter"/>
      <w:lvlText w:val="%8)"/>
      <w:lvlJc w:val="left"/>
      <w:pPr>
        <w:tabs>
          <w:tab w:val="left" w:pos="4000"/>
        </w:tabs>
        <w:ind w:left="4000" w:hanging="420"/>
      </w:pPr>
      <w:rPr>
        <w:rFonts w:cs="Times New Roman"/>
      </w:rPr>
    </w:lvl>
    <w:lvl w:ilvl="8" w:tentative="1">
      <w:start w:val="1"/>
      <w:numFmt w:val="lowerRoman"/>
      <w:lvlText w:val="%9."/>
      <w:lvlJc w:val="right"/>
      <w:pPr>
        <w:tabs>
          <w:tab w:val="left" w:pos="4420"/>
        </w:tabs>
        <w:ind w:left="4420" w:hanging="420"/>
      </w:pPr>
      <w:rPr>
        <w:rFonts w:cs="Times New Roman"/>
      </w:rPr>
    </w:lvl>
  </w:abstractNum>
  <w:abstractNum w:abstractNumId="1486290051">
    <w:nsid w:val="5896FC83"/>
    <w:multiLevelType w:val="singleLevel"/>
    <w:tmpl w:val="5896FC83"/>
    <w:lvl w:ilvl="0" w:tentative="1">
      <w:start w:val="2"/>
      <w:numFmt w:val="decimal"/>
      <w:suff w:val="nothing"/>
      <w:lvlText w:val="%1、"/>
      <w:lvlJc w:val="left"/>
      <w:rPr>
        <w:rFonts w:cs="Times New Roman"/>
      </w:rPr>
    </w:lvl>
  </w:abstractNum>
  <w:num w:numId="1">
    <w:abstractNumId w:val="1917127473"/>
  </w:num>
  <w:num w:numId="2">
    <w:abstractNumId w:val="14862900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5A61"/>
    <w:rsid w:val="0007471F"/>
    <w:rsid w:val="00075D5F"/>
    <w:rsid w:val="000C2239"/>
    <w:rsid w:val="000C3A19"/>
    <w:rsid w:val="000E3B96"/>
    <w:rsid w:val="001245BB"/>
    <w:rsid w:val="00143064"/>
    <w:rsid w:val="00176290"/>
    <w:rsid w:val="001C48ED"/>
    <w:rsid w:val="001D7B4A"/>
    <w:rsid w:val="00241FD4"/>
    <w:rsid w:val="0024471F"/>
    <w:rsid w:val="00251B12"/>
    <w:rsid w:val="002645FB"/>
    <w:rsid w:val="0026729B"/>
    <w:rsid w:val="00296113"/>
    <w:rsid w:val="002D7C9C"/>
    <w:rsid w:val="002F2BE3"/>
    <w:rsid w:val="002F3E58"/>
    <w:rsid w:val="0030542C"/>
    <w:rsid w:val="00311B7A"/>
    <w:rsid w:val="003132D6"/>
    <w:rsid w:val="003C13AE"/>
    <w:rsid w:val="003E1A7F"/>
    <w:rsid w:val="003E48C5"/>
    <w:rsid w:val="00401D42"/>
    <w:rsid w:val="00443AB0"/>
    <w:rsid w:val="00451871"/>
    <w:rsid w:val="00472923"/>
    <w:rsid w:val="004B7E41"/>
    <w:rsid w:val="004E3066"/>
    <w:rsid w:val="004E74CD"/>
    <w:rsid w:val="00505BEB"/>
    <w:rsid w:val="00573562"/>
    <w:rsid w:val="00597526"/>
    <w:rsid w:val="005E4125"/>
    <w:rsid w:val="00607137"/>
    <w:rsid w:val="00614A29"/>
    <w:rsid w:val="00625318"/>
    <w:rsid w:val="006956E8"/>
    <w:rsid w:val="00746C67"/>
    <w:rsid w:val="0075393C"/>
    <w:rsid w:val="00775DE4"/>
    <w:rsid w:val="00776C08"/>
    <w:rsid w:val="007B4EE0"/>
    <w:rsid w:val="007B5C27"/>
    <w:rsid w:val="007D6C84"/>
    <w:rsid w:val="007E1DA8"/>
    <w:rsid w:val="007F6C26"/>
    <w:rsid w:val="008334AE"/>
    <w:rsid w:val="00836FED"/>
    <w:rsid w:val="00845CD2"/>
    <w:rsid w:val="008502D8"/>
    <w:rsid w:val="00852B0D"/>
    <w:rsid w:val="00881692"/>
    <w:rsid w:val="008B3CC5"/>
    <w:rsid w:val="008E4261"/>
    <w:rsid w:val="008F4662"/>
    <w:rsid w:val="00905D08"/>
    <w:rsid w:val="00917C86"/>
    <w:rsid w:val="00925753"/>
    <w:rsid w:val="00966C5C"/>
    <w:rsid w:val="00973104"/>
    <w:rsid w:val="009C5BF5"/>
    <w:rsid w:val="00A26D93"/>
    <w:rsid w:val="00A6282F"/>
    <w:rsid w:val="00A72D2E"/>
    <w:rsid w:val="00A911E7"/>
    <w:rsid w:val="00A939D9"/>
    <w:rsid w:val="00A93C7F"/>
    <w:rsid w:val="00AD1826"/>
    <w:rsid w:val="00AF6649"/>
    <w:rsid w:val="00B20712"/>
    <w:rsid w:val="00B43238"/>
    <w:rsid w:val="00B71D85"/>
    <w:rsid w:val="00B75216"/>
    <w:rsid w:val="00B91D52"/>
    <w:rsid w:val="00BA1ACD"/>
    <w:rsid w:val="00BB76B6"/>
    <w:rsid w:val="00BC023B"/>
    <w:rsid w:val="00BE032F"/>
    <w:rsid w:val="00C40FE1"/>
    <w:rsid w:val="00C95734"/>
    <w:rsid w:val="00CA7176"/>
    <w:rsid w:val="00CB585F"/>
    <w:rsid w:val="00CD2773"/>
    <w:rsid w:val="00CE143B"/>
    <w:rsid w:val="00D16B04"/>
    <w:rsid w:val="00D26D58"/>
    <w:rsid w:val="00D77FB1"/>
    <w:rsid w:val="00E167C7"/>
    <w:rsid w:val="00E3121F"/>
    <w:rsid w:val="00EC103A"/>
    <w:rsid w:val="00EC47F6"/>
    <w:rsid w:val="00EE1B43"/>
    <w:rsid w:val="00EF4FF6"/>
    <w:rsid w:val="00F113DA"/>
    <w:rsid w:val="00F66032"/>
    <w:rsid w:val="00F958C2"/>
    <w:rsid w:val="064E5CDB"/>
    <w:rsid w:val="0DD81ABE"/>
    <w:rsid w:val="10272831"/>
    <w:rsid w:val="104C24E3"/>
    <w:rsid w:val="15D64624"/>
    <w:rsid w:val="20C8229F"/>
    <w:rsid w:val="2C022ACF"/>
    <w:rsid w:val="30AE0033"/>
    <w:rsid w:val="43694479"/>
    <w:rsid w:val="43BB7999"/>
    <w:rsid w:val="49921384"/>
    <w:rsid w:val="5429791D"/>
    <w:rsid w:val="54A00AAE"/>
    <w:rsid w:val="5B1C0C45"/>
    <w:rsid w:val="65832FF2"/>
    <w:rsid w:val="665C7E1B"/>
    <w:rsid w:val="667B0DED"/>
    <w:rsid w:val="6AE362EB"/>
    <w:rsid w:val="6BE511EB"/>
    <w:rsid w:val="6C9C4EEF"/>
    <w:rsid w:val="731749D8"/>
    <w:rsid w:val="7DC15AEC"/>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toc 1"/>
    <w:basedOn w:val="1"/>
    <w:next w:val="1"/>
    <w:qFormat/>
    <w:uiPriority w:val="99"/>
    <w:rPr>
      <w:rFonts w:ascii="Times New Roman" w:hAnsi="Times New Roman"/>
      <w:szCs w:val="24"/>
    </w:rPr>
  </w:style>
  <w:style w:type="paragraph" w:styleId="5">
    <w:name w:val="toc 2"/>
    <w:basedOn w:val="1"/>
    <w:next w:val="1"/>
    <w:qFormat/>
    <w:uiPriority w:val="99"/>
    <w:pPr>
      <w:ind w:left="420" w:leftChars="200"/>
    </w:pPr>
    <w:rPr>
      <w:rFonts w:ascii="Times New Roman" w:hAnsi="Times New Roman"/>
      <w:szCs w:val="24"/>
    </w:rPr>
  </w:style>
  <w:style w:type="character" w:styleId="7">
    <w:name w:val="page number"/>
    <w:basedOn w:val="6"/>
    <w:uiPriority w:val="99"/>
    <w:rPr>
      <w:rFonts w:cs="Times New Roman"/>
    </w:rPr>
  </w:style>
  <w:style w:type="character" w:customStyle="1" w:styleId="9">
    <w:name w:val="Footer Char"/>
    <w:basedOn w:val="6"/>
    <w:link w:val="2"/>
    <w:locked/>
    <w:uiPriority w:val="99"/>
    <w:rPr>
      <w:rFonts w:ascii="Times New Roman" w:hAnsi="Times New Roman" w:eastAsia="宋体" w:cs="Times New Roman"/>
      <w:sz w:val="18"/>
      <w:szCs w:val="18"/>
    </w:rPr>
  </w:style>
  <w:style w:type="character" w:customStyle="1" w:styleId="10">
    <w:name w:val="Header Char"/>
    <w:basedOn w:val="6"/>
    <w:link w:val="3"/>
    <w:locked/>
    <w:uiPriority w:val="99"/>
    <w:rPr>
      <w:rFonts w:ascii="Times New Roman" w:hAnsi="Times New Roman" w:eastAsia="宋体" w:cs="Times New Roman"/>
      <w:sz w:val="18"/>
      <w:szCs w:val="18"/>
    </w:rPr>
  </w:style>
  <w:style w:type="paragraph" w:customStyle="1" w:styleId="11">
    <w:name w:val="pa-2"/>
    <w:basedOn w:val="1"/>
    <w:uiPriority w:val="99"/>
    <w:pPr>
      <w:widowControl/>
      <w:spacing w:before="100" w:beforeAutospacing="1" w:after="100" w:afterAutospacing="1"/>
      <w:jc w:val="left"/>
    </w:pPr>
    <w:rPr>
      <w:rFonts w:ascii="宋体" w:hAnsi="宋体" w:cs="宋体"/>
      <w:kern w:val="0"/>
      <w:sz w:val="24"/>
    </w:rPr>
  </w:style>
  <w:style w:type="character" w:customStyle="1" w:styleId="12">
    <w:name w:val="ca-32"/>
    <w:basedOn w:val="6"/>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708</Words>
  <Characters>4037</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fanyibing</cp:lastModifiedBy>
  <dcterms:modified xsi:type="dcterms:W3CDTF">2024-01-03T03:45:44Z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